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EnVKV — Etiketten für Produkte nach Anlage 2</w:t>
      </w:r>
    </w:p>
    <w:p>
      <w:r>
        <w:rPr>
          <w:color w:val="555555"/>
          <w:sz w:val="18"/>
        </w:rPr>
        <w:t xml:space="preserve">Energieverbrauchskennzeichnungsverordnung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(1) Der jeweilige Lieferant hat für die Produkte, die von einer der in Anlage 2 Abschnitt 1 Absatz 1 genannten Delegierten Verordnungen erfasst sind, die erforderlichen Etiketten mitzuliefern.</w:t>
      </w:r>
    </w:p>
    <w:p>
      <w:r>
        <w:t xml:space="preserve">(2) Bei den Produkten, die von einer der in Anlage 2 Abschnitt 1 Absatz 1 Nummer 7, 9, 10, 11 und 14 genannten Delegierten Verordnungen erfasst sind, sind vom jeweiligen Lieferanten folgende besondere Vorgaben einzuhalten,</w:t>
      </w:r>
    </w:p>
    <w:p>
      <w:pPr>
        <w:ind w:left="420"/>
      </w:pPr>
      <w:r>
        <w:t xml:space="preserve">1. beim Inverkehrbringen von Raumheizgeräten mit Wärmepumpe oder von Warmwasserbereitern mit Wärmepumpe das Etikett in der Verpackung des Wärmeerzeugers zu liefern,</w:t>
      </w:r>
    </w:p>
    <w:p>
      <w:pPr>
        <w:ind w:left="420"/>
      </w:pPr>
      <w:r>
        <w:t xml:space="preserve">2. beim Inverkehrbringen von Raumheizgeräten, die in Verbundanlagen aus Raumheizgeräten, Temperaturreglern und Solareinrichtungen eingesetzt werden sollen, für jedes Raumheizgerät ein zweites Etikett zu liefern,</w:t>
      </w:r>
    </w:p>
    <w:p>
      <w:pPr>
        <w:ind w:left="420"/>
      </w:pPr>
      <w:r>
        <w:t xml:space="preserve">3. beim Inverkehrbringen von Warmwasserbereitern, die in Verbundanlagen aus Warmwasserbereitern und Solareinrichtungen eingesetzt werden sollen, für jeden Warmwasserbereiter ein zweites Etikett zu liefern,</w:t>
      </w:r>
    </w:p>
    <w:p>
      <w:pPr>
        <w:ind w:left="420"/>
      </w:pPr>
      <w:r>
        <w:t xml:space="preserve">4. beim Inverkehrbringen von elektrischen Lampen als Einzelprodukt, die über eine Verkaufsstelle verkauft werden sollen,</w:t>
      </w:r>
    </w:p>
    <w:p>
      <w:pPr>
        <w:ind w:left="780"/>
      </w:pPr>
      <w:r>
        <w:t xml:space="preserve">a) ein Etikett auf der Einzelverpackung jeder Lampe anzubringen oder aufzudrucken oder der Verpackung beizufügen, wobei das Etikett nicht durch sonstige Angaben, Aufdrucke oder Hinweise verdeckt sein darf, und</w:t>
      </w:r>
    </w:p>
    <w:p>
      <w:pPr>
        <w:ind w:left="780"/>
      </w:pPr>
      <w:r>
        <w:t xml:space="preserve">b) außerhalb des Etiketts die Nennleistung der Lampe anzugeben,</w:t>
      </w:r>
    </w:p>
    <w:p>
      <w:pPr>
        <w:ind w:left="420"/>
      </w:pPr>
      <w:r>
        <w:t xml:space="preserve">5. beim Inverkehrbringen von Backöfen mit mehreren Garräumen ein Etikett für jeden Garraum mitzuliefern,</w:t>
      </w:r>
    </w:p>
    <w:p>
      <w:pPr>
        <w:ind w:left="420"/>
      </w:pPr>
      <w:r>
        <w:t xml:space="preserve">6. beim Inverkehrbringen von Festbrennstoffkesseln, die in Verbundanlagen aus Festbrennstoffkesseln, Zusatzheizgeräten, Temperaturreglern und Solareinrichtungen eingesetzt werden sollen, für jeden Festbrennstoffkessel ein zweites Etikett zu liefern und</w:t>
      </w:r>
    </w:p>
    <w:p>
      <w:pPr>
        <w:ind w:left="420"/>
      </w:pPr>
      <w:r>
        <w:t xml:space="preserve">7. beim Inverkehrbringen von Lichtquellen, die als eigenständiges Produkt in einer Verpackung in Verkehr gebracht werden, diese Lichtquellen in einer Verpackung zu liefern, auf die das Etikett aufgedruckt ist.</w:t>
      </w:r>
    </w:p>
    <w:p>
      <w:r>
        <w:t xml:space="preserve">Der Lieferant hat sicherzustellen, dass die erforderlichen Etiketten jedem Händler auf Anforderung unverzüglich zur Verfügung stehen.</w:t>
      </w:r>
    </w:p>
    <w:p>
      <w:r>
        <w:rPr>
          <w:color w:val="555555"/>
          <w:sz w:val="17"/>
        </w:rPr>
        <w:t xml:space="preserve">Zitiervorschlag: § 4b 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https://recht.nulegal.eu/gesetze/EnVKV/4b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