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EnVKV — Kennzeichnungspflicht</w:t>
      </w:r>
    </w:p>
    <w:p>
      <w:r>
        <w:rPr>
          <w:color w:val="555555"/>
          <w:sz w:val="18"/>
        </w:rPr>
        <w:t xml:space="preserve">Energieverbrauchskennzeichnungsverordnung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Energieverbrauchsrelevante Produkte, die für den Endverbraucher am Verkaufsort zum Kauf, zum Abschluss eines Mietvertrages oder zu ähnlicher entgeltlicher Gebrauchsüberlassung angeboten oder ausgestellt werden, sind nach Maßgabe der §§ 4 und 5 sowie der Anlage 1 und den Verordnungen der Europäischen Union nach Anlage 2 mit Angaben über den Verbrauch an Energie und anderen wichtigen Ressourcen sowie zusätzlichen Angaben zu kennzeichnen.</w:t>
      </w:r>
    </w:p>
    <w:p>
      <w:r>
        <w:t xml:space="preserve">(2) Eine Verpflichtung zur Kennzeichnung nach Absatz 1 besteht nicht bei energieverbrauchsrelevanten Produkten, deren Herstellung vor dem Zeitpunkt eingestellt worden ist, von dem an nach Maßgabe der Anlage 1 oder der Anlage 2 bei den einzelnen Arten von energieverbrauchsrelevanten Produkten die Kennzeichnung vorgenommen werden muß.</w:t>
      </w:r>
    </w:p>
    <w:p>
      <w:r>
        <w:t xml:space="preserve">(3) Die Lieferanten sind für die Richtigkeit der von ihnen auf Etiketten und Datenblättern nach § 4 gemachten Angaben verantwortlich; ihre Zustimmung zur Veröffentlichung dieser Angaben gilt als erteilt. Machen Händler bei nicht ausgestellten Geräten nach § 5 eigene Angaben, so sind sie für deren Richtigkeit verantwortlich.</w:t>
      </w:r>
    </w:p>
    <w:p>
      <w:r>
        <w:t xml:space="preserve">(4) Eine Kennzeichnungspflicht im Sinne des Absatzes 1 besteht für eingebaute oder installierte Produkte nur dann, wenn dies in Anlage 1 oder einer Verordnung der Europäischen Union nach Anlage 2 bestimmt ist.</w:t>
      </w:r>
    </w:p>
    <w:p>
      <w:r>
        <w:rPr>
          <w:color w:val="555555"/>
          <w:sz w:val="17"/>
        </w:rPr>
        <w:t xml:space="preserve">Zitiervorschlag: § 3 EnVKV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