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EnVKV — Begriffsbestimmungen</w:t>
      </w:r>
    </w:p>
    <w:p>
      <w:r>
        <w:rPr>
          <w:color w:val="555555"/>
          <w:sz w:val="18"/>
        </w:rPr>
        <w:t xml:space="preserve">Energieverbrauchskennzeichnungsverordnung</w:t>
      </w:r>
    </w:p>
    <w:p>
      <w:r>
        <w:rPr>
          <w:color w:val="555555"/>
          <w:sz w:val="18"/>
        </w:rPr>
        <w:t xml:space="preserve">Stand: 04.03.2021 (konsolidierte Textfassung, kein amtliches Inkrafttretensdatum)</w:t>
      </w:r>
    </w:p>
    <w:p>
      <w:r>
        <w:t xml:space="preserve">Im Sinne dieser Verordnung</w:t>
      </w:r>
    </w:p>
    <w:p>
      <w:pPr>
        <w:ind w:left="420"/>
      </w:pPr>
      <w:r>
        <w:t xml:space="preserve">1. sind energieverbrauchsrelevante ProdukteGegenstände im Sinne des § 2 Nummer 1 Buchstabe a des Energieverbrauchskennzeichnungsgesetzes vom 30. Januar 2002 (BGBl. I S. 570), das zuletzt durch Artikel 1 des Gesetzes vom 10. Mai 2012 (BGBl. I S. 1070) geändert worden ist;</w:t>
      </w:r>
    </w:p>
    <w:p>
      <w:pPr>
        <w:ind w:left="420"/>
      </w:pPr>
      <w:r>
        <w:t xml:space="preserve">2. gilt als Lieferantjede der in § 2 Nummer 8 des Energieverbrauchskennzeichnungsgesetzes genannten natürlichen oder juristischen Personen;</w:t>
      </w:r>
    </w:p>
    <w:p>
      <w:pPr>
        <w:ind w:left="420"/>
      </w:pPr>
      <w:r>
        <w:t xml:space="preserve">3. ist Händlerjede der in § 2 Nummer 12 Buchstabe a des Energieverbrauchskennzeichnungsgesetzes genannten natürlichen oder juristischen Personen;</w:t>
      </w:r>
    </w:p>
    <w:p>
      <w:pPr>
        <w:ind w:left="420"/>
      </w:pPr>
      <w:r>
        <w:t xml:space="preserve">4. ist Inbetriebnahmedie erstmalige bestimmungsgemäße Verwendung eines Produkts auf dem Unionsmarkt;</w:t>
      </w:r>
    </w:p>
    <w:p>
      <w:pPr>
        <w:ind w:left="420"/>
      </w:pPr>
      <w:r>
        <w:t xml:space="preserve">5. ist Datenblattein einheitliches Dokument, das Angaben über ein Produkt in gedruckter oder in elektronischer Form enthält;</w:t>
      </w:r>
    </w:p>
    <w:p>
      <w:pPr>
        <w:ind w:left="420"/>
      </w:pPr>
      <w:r>
        <w:t xml:space="preserve">6. sind andere wichtige RessourcenWasser, Chemikalien oder sonstige Ressourcen, das oder die das betreffende Produkt bei Normalbetrieb verbraucht;</w:t>
      </w:r>
    </w:p>
    <w:p>
      <w:pPr>
        <w:ind w:left="420"/>
      </w:pPr>
      <w:r>
        <w:t xml:space="preserve">7. sind technische WerbeschriftenSchriften, in denen die spezifischen technischen Parameter eines Produkts beschrieben sind und die zur Vermarktung verwendet werden, insbesondere technische Handbücher oder Broschüren, die entweder gedruckt vorliegen oder online abrufbar sind;</w:t>
      </w:r>
    </w:p>
    <w:p>
      <w:pPr>
        <w:ind w:left="420"/>
      </w:pPr>
      <w:r>
        <w:t xml:space="preserve">8. sind unmittelbare Auswirkungen auf den Verbrauch an EnergieAuswirkungen von Produkten, die während des Gebrauchs tatsächlich Energie verbrauchen;</w:t>
      </w:r>
    </w:p>
    <w:p>
      <w:pPr>
        <w:ind w:left="420"/>
      </w:pPr>
      <w:r>
        <w:t xml:space="preserve">9. sind mittelbare Auswirkungen auf den Verbrauch an EnergieAuswirkungen von Produkten, die selbst keine Energie verbrauchen, jedoch während des Gebrauchs zur Änderung des Energieverbrauchs beitragen;</w:t>
      </w:r>
    </w:p>
    <w:p>
      <w:pPr>
        <w:ind w:left="420"/>
      </w:pPr>
      <w:r>
        <w:t xml:space="preserve">10. ist Anzeigemechanismus jeder Bildschirm, einschließlich eines Touchscreens, oder jede sonstige Bildtechnologie zur Anzeige von Internet-Inhalten für Nutzer.</w:t>
      </w:r>
    </w:p>
    <w:p>
      <w:r>
        <w:rPr>
          <w:color w:val="555555"/>
          <w:sz w:val="17"/>
        </w:rPr>
        <w:t xml:space="preserve">Zitiervorschlag: § 2 EnVKV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