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EnVKV — Anwendungsbereich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in den Anlagen 1 und 2 genannten energieverbrauchsrelevanten Produkte, die während des Gebrauchs wesentliche unmittelbare oder mittelbare Auswirkungen auf den Verbrauch an Energie und gegebenenfalls an anderen wichtigen Ressourcen haben.</w:t>
      </w:r>
    </w:p>
    <w:p>
      <w:r>
        <w:t xml:space="preserve">(2) Diese Verordnung gilt nicht für</w:t>
      </w:r>
    </w:p>
    <w:p>
      <w:pPr>
        <w:ind w:left="420"/>
      </w:pPr>
      <w:r>
        <w:t xml:space="preserve">1. gebrauchte Produkte,</w:t>
      </w:r>
    </w:p>
    <w:p>
      <w:pPr>
        <w:ind w:left="420"/>
      </w:pPr>
      <w:r>
        <w:t xml:space="preserve">2. Verkehrsmittel zur Personen- oder Güterbeförderung,</w:t>
      </w:r>
    </w:p>
    <w:p>
      <w:pPr>
        <w:ind w:left="420"/>
      </w:pPr>
      <w:r>
        <w:t xml:space="preserve">3. Reifen,</w:t>
      </w:r>
    </w:p>
    <w:p>
      <w:pPr>
        <w:ind w:left="420"/>
      </w:pPr>
      <w:r>
        <w:t xml:space="preserve">4. Etiketten, Beschriftungen, Leistungsschilder oder sonstige Informationen und Zeichen an Produkten, soweit diese nach anderen Rechtsvorschriften erforderlich sind oder aus Sicherheitsgründen angebracht werden, und</w:t>
      </w:r>
    </w:p>
    <w:p>
      <w:pPr>
        <w:ind w:left="420"/>
      </w:pPr>
      <w:r>
        <w:t xml:space="preserve">5. Produkte, die ausschließlich zur Verwendung für militärische Zwecke bestimmt sind.</w:t>
      </w:r>
    </w:p>
    <w:p>
      <w:r>
        <w:rPr>
          <w:color w:val="555555"/>
          <w:sz w:val="17"/>
        </w:rPr>
        <w:t xml:space="preserve">Zitiervorschlag: § 1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