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EnVKG 2012 — Vermutungswirkung</w:t>
      </w:r>
    </w:p>
    <w:p>
      <w:r>
        <w:rPr>
          <w:color w:val="555555"/>
          <w:sz w:val="18"/>
        </w:rPr>
        <w:t xml:space="preserve">Energieverbrauchskennzeichnungsgesetz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die in diesem Gesetz, einer Rechtsverordnung nach § 4 oder einer Verordnung der Europäischen Union festgelegten Verbrauchskennzeichnungen für Produkte und sonstige Produktinformationen verwendet, so wird bis zum Beweis des Gegenteils vermutet, dass diese den dort genannten Anforderungen entsprechen.</w:t>
      </w:r>
    </w:p>
    <w:p>
      <w:r>
        <w:rPr>
          <w:color w:val="555555"/>
          <w:sz w:val="17"/>
        </w:rPr>
        <w:t xml:space="preserve">Zitiervorschlag: § 7 EnVKG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https://recht.nulegal.eu/gesetze/EnVKG%202012/7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