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EnVKG 2012 — Begriffsbestimmungen</w:t>
      </w:r>
    </w:p>
    <w:p>
      <w:r>
        <w:rPr>
          <w:color w:val="555555"/>
          <w:sz w:val="18"/>
        </w:rPr>
        <w:t xml:space="preserve">Energieverbrauchskennzeichnungsgesetz</w:t>
      </w:r>
    </w:p>
    <w:p>
      <w:r>
        <w:rPr>
          <w:color w:val="555555"/>
          <w:sz w:val="18"/>
        </w:rPr>
        <w:t xml:space="preserve">Stand: 30.07.2026 (konsolidierte Textfassung, kein amtliches Inkrafttretensdatum)</w:t>
      </w:r>
    </w:p>
    <w:p>
      <w:r>
        <w:t xml:space="preserve">Im Sinne dieses Gesetzes</w:t>
      </w:r>
    </w:p>
    <w:p>
      <w:pPr>
        <w:ind w:left="420"/>
      </w:pPr>
      <w:r>
        <w:t xml:space="preserve">1. ist Produkt der Oberbegriff für</w:t>
      </w:r>
    </w:p>
    <w:p>
      <w:pPr>
        <w:ind w:left="780"/>
      </w:pPr>
      <w:r>
        <w:t xml:space="preserve">a) energieverbrauchsrelevante Produkte; dies umfasst Gegenstände, deren Nutzung den Verbrauch von Energie beeinflusst und die in Verkehr gebracht oder in Betrieb genommen werden, einschließlich Produktteile, die</w:t>
      </w:r>
    </w:p>
    <w:p>
      <w:pPr>
        <w:ind w:left="1140"/>
      </w:pPr>
      <w:r>
        <w:t xml:space="preserve">aa) zum Einbau in ein energieverbrauchsrelevantes Produkt bestimmt sind,</w:t>
      </w:r>
    </w:p>
    <w:p>
      <w:pPr>
        <w:ind w:left="1140"/>
      </w:pPr>
      <w:r>
        <w:t xml:space="preserve">bb) als Einzelteile für Endverbraucher in Verkehr gebracht werden oder in Betrieb genommen werden und</w:t>
      </w:r>
    </w:p>
    <w:p>
      <w:pPr>
        <w:ind w:left="1140"/>
      </w:pPr>
      <w:r>
        <w:t xml:space="preserve">cc) getrennt auf ihre Umweltverträglichkeit geprüft werden können;</w:t>
      </w:r>
    </w:p>
    <w:p>
      <w:pPr>
        <w:ind w:left="780"/>
      </w:pPr>
      <w:r>
        <w:t xml:space="preserve">b) Kraftfahrzeuge im Sinne des Artikels 2 Nummer 1 der Richtlinie 1999/94/EG des Europäischen Parlaments und des Rates vom 13. Dezember 1999 über die Bereitstellung von Verbraucherinformationen über den Kraftstoffverbrauch und CO2-Emissionen beim Marketing für neue Personenkraftwagen (ABl. L 12 vom 18.1.2000, S. 16), die zuletzt durch die Verordnung (EG) Nr. 1137/2008 (ABl. L 311 vom 21.11.2008, S. 1) geändert worden ist;</w:t>
      </w:r>
    </w:p>
    <w:p>
      <w:pPr>
        <w:ind w:left="780"/>
      </w:pPr>
      <w:r>
        <w:t xml:space="preserve">c) Reifen im Sinne der Artikel 2 und 3 Nummer 1 der Verordnung (EG) Nr. 1222/2009 des Europäischen Parlaments und des Rates vom 25. November 2009 über die Kennzeichnung von Reifen in Bezug auf die Kraftstoffeffizienz und andere wesentliche Parameter (ABl. L 342 vom 22.12.2009, S. 46), die zuletzt durch die Verordnung (EU) Nr. 228/2011 (ABl. L 62 vom 9.3.2011, S. 1) geändert worden ist;</w:t>
      </w:r>
    </w:p>
    <w:p>
      <w:pPr>
        <w:ind w:left="420"/>
      </w:pPr>
      <w:r>
        <w:t xml:space="preserve">2. ist Verordnung der Europäischen Union</w:t>
      </w:r>
    </w:p>
    <w:p>
      <w:pPr>
        <w:ind w:left="780"/>
      </w:pPr>
      <w:r>
        <w:t xml:space="preserve">a) ein delegierter Rechtsakt in der Rechtsform der Verordnung im Sinne des Artikels 10 der Richtlinie 2010/30/EU des Europäischen Parlaments und des Rates vom 19. Mai 2010 über die Angabe des Verbrauchs an Energie und anderen Ressourcen durch energieverbrauchsrelevante Produkte mittels einheitlicher Etiketten und Produktinformationen (ABl. L 153 vom 18.6.2010, S. 1) oder</w:t>
      </w:r>
    </w:p>
    <w:p>
      <w:pPr>
        <w:ind w:left="780"/>
      </w:pPr>
      <w:r>
        <w:t xml:space="preserve">b) die Verordnung (EG) Nr. 1222/2009;</w:t>
      </w:r>
    </w:p>
    <w:p>
      <w:pPr>
        <w:ind w:left="420"/>
      </w:pPr>
      <w:r>
        <w:t xml:space="preserve">3. ist Verbrauchskennzeichnung die Kennzeichnung von Produkten mit Angaben über den Verbrauch an Energie und an anderen wichtigen Ressourcen sowie über CO2-Emissionen und mit sonstigen zusätzlichen Angaben mittels einheitlicher Etiketten, Aufkleber oder Hinweise;</w:t>
      </w:r>
    </w:p>
    <w:p>
      <w:pPr>
        <w:ind w:left="420"/>
      </w:pPr>
      <w:r>
        <w:t xml:space="preserve">4. sind sonstige Produktinformationen Materialien, wie Datenblätter, Aushänge am Verkaufsort oder Leitfäden, die Informationen über den Verbrauch an Energie und an anderen wichtigen Ressourcen sowie über CO2-Emissionen oder zusätzliche Angaben enthalten;</w:t>
      </w:r>
    </w:p>
    <w:p>
      <w:pPr>
        <w:ind w:left="420"/>
      </w:pPr>
      <w:r>
        <w:t xml:space="preserve">5. sind zusätzliche Angaben weitere Angaben über die Leistung und die Merkmale eines Produkts, die sich auf dessen Verbrauch an Energie, den Verbrauch an anderen wichtigen Ressourcen oder den CO2-Ausstoß beziehen oder die für die Beurteilung des Verbrauchers von Nutzen sind und auf messbaren Daten beruhen;</w:t>
      </w:r>
    </w:p>
    <w:p>
      <w:pPr>
        <w:ind w:left="420"/>
      </w:pPr>
      <w:r>
        <w:t xml:space="preserve">6. sind sonstige Werbeinformationen</w:t>
      </w:r>
    </w:p>
    <w:p>
      <w:pPr>
        <w:ind w:left="780"/>
      </w:pPr>
      <w:r>
        <w:t xml:space="preserve">a) technische Werbematerialien im Sinne des Artikels 3 Nummer 4 der Verordnung (EG) Nr. 1222/2009;</w:t>
      </w:r>
    </w:p>
    <w:p>
      <w:pPr>
        <w:ind w:left="780"/>
      </w:pPr>
      <w:r>
        <w:t xml:space="preserve">b) die in einer Rechtsverordnung nach § 4 geregelten technischen Werbeschriften, Werbematerialien und Werbeschriften;</w:t>
      </w:r>
    </w:p>
    <w:p>
      <w:pPr>
        <w:ind w:left="420"/>
      </w:pPr>
      <w:r>
        <w:t xml:space="preserve">7. gilt als Wirtschaftsakteur der Lieferant, der Hersteller des Kraftfahrzeugs, deren Bevollmächtigter oder bevollmächtigter Vertreter, der Importeur und der Händler von Produkten;</w:t>
      </w:r>
    </w:p>
    <w:p>
      <w:pPr>
        <w:ind w:left="420"/>
      </w:pPr>
      <w:r>
        <w:t xml:space="preserve">8. gilt als Lieferantder Hersteller oder dessen Bevollmächtigter in der Europäischen Union oder im Europäischen Wirtschaftsraum oder der Importeur, der das energieverbrauchsrelevante Produkt oder den Reifen in der Europäischen Union oder im Europäischen Wirtschaftsraum in Verkehr bringt oder das energieverbrauchsrelevante Produkt in Betrieb nimmt; in Ermangelung dessen gilt als Lieferant jede natürliche oder juristische Person, die das energieverbrauchsrelevante Produkt oder den Reifen in Verkehr bringt oder das energieverbrauchsrelevante Produkt in Betrieb nimmt;</w:t>
      </w:r>
    </w:p>
    <w:p>
      <w:pPr>
        <w:ind w:left="420"/>
      </w:pPr>
      <w:r>
        <w:t xml:space="preserve">9. ist Hersteller des Kraftfahrzeugs der in der Zulassungsbescheinigung Teil I genannte Hersteller oder, wenn dieser nicht in Deutschland ansässig ist, dessen bevollmächtigter Vertreter;</w:t>
      </w:r>
    </w:p>
    <w:p>
      <w:pPr>
        <w:ind w:left="420"/>
      </w:pPr>
      <w:r>
        <w:t xml:space="preserve">10. ist Bevollmächtigter oder bevollmächtigter Vertreter jede in der Europäischen Union oder einem Vertragsstaat des Europäischen Wirtschaftsraums ansässige natürliche oder juristische Person, die der Hersteller schriftlich beauftragt hat, in seinem Namen bestimmte Aufgaben wahrzunehmen, um seine Verpflichtungen nach diesem Gesetz und der einschlägigen Gesetzgebung der Europäischen Union zu erfüllen;</w:t>
      </w:r>
    </w:p>
    <w:p>
      <w:pPr>
        <w:ind w:left="420"/>
      </w:pPr>
      <w:r>
        <w:t xml:space="preserve">11. ist Importeur jede in der Europäischen Union oder einem Vertragsstaat des Europäischen Wirtschaftsraums ansässige natürliche oder juristische Person, die ein Produkt aus einem Staat, der nicht der Europäischen Union oder dem Europäischen Wirtschaftsraum angehört, in Verkehr bringt;</w:t>
      </w:r>
    </w:p>
    <w:p>
      <w:pPr>
        <w:ind w:left="420"/>
      </w:pPr>
      <w:r>
        <w:t xml:space="preserve">12. ist Händler</w:t>
      </w:r>
    </w:p>
    <w:p>
      <w:pPr>
        <w:ind w:left="780"/>
      </w:pPr>
      <w:r>
        <w:t xml:space="preserve">a) jede natürliche oder juristische Person, die ein energieverbrauchsrelevantes Produkt dem Endverbraucher zum Kauf, zum Abschluss eines Mietvertrages oder ähnlicher entgeltlicher Gebrauchsüberlassung anbietet oder ausstellt;</w:t>
      </w:r>
    </w:p>
    <w:p>
      <w:pPr>
        <w:ind w:left="780"/>
      </w:pPr>
      <w:r>
        <w:t xml:space="preserve">b) jede natürliche oder juristische Person in der Lieferkette, die Reifen im Sinne des Artikels 3 Nummer 9 der Verordnung (EG) Nr. 1222/2009 auf dem Markt bereitstellt, mit Ausnahme des Lieferanten oder des Importeurs;</w:t>
      </w:r>
    </w:p>
    <w:p>
      <w:pPr>
        <w:ind w:left="780"/>
      </w:pPr>
      <w:r>
        <w:t xml:space="preserve">c) jede natürliche oder juristische Person, die in Deutschland neue Kraftfahrzeuge im Sinne von Nummer 1 Buchstabe b ausstellt oder zum Kauf oder Leasing anbietet;</w:t>
      </w:r>
    </w:p>
    <w:p>
      <w:pPr>
        <w:ind w:left="420"/>
      </w:pPr>
      <w:r>
        <w:t xml:space="preserve">13. ist Bereitstellung auf dem Markt jede entgeltliche oder unentgeltliche Abgabe eines Produkts zum Vertrieb, Verbrauch oder zur Verwendung auf dem Markt der Europäischen Union oder eines Vertragsstaates des Abkommens über den Europäischen Wirtschaftsraum im Rahmen einer Geschäftstätigkeit;</w:t>
      </w:r>
    </w:p>
    <w:p>
      <w:pPr>
        <w:ind w:left="420"/>
      </w:pPr>
      <w:r>
        <w:t xml:space="preserve">14. ist Inverkehrbringen die erstmalige entgeltliche oder unentgeltliche Bereitstellung eines Produkts auf dem Markt der Europäischen Union oder in einem der Vertragsstaaten des Europäischen Wirtschaftsraums zum Vertrieb oder zur Verwendung des Produkts innerhalb der Europäischen Union, unabhängig von der Art des Vertriebs;</w:t>
      </w:r>
    </w:p>
    <w:p>
      <w:pPr>
        <w:ind w:left="420"/>
      </w:pPr>
      <w:r>
        <w:t xml:space="preserve">15. ist Anbieten das Anbieten eines Produkts zum Kauf, zum Abschluss eines Mietvertrages oder ähnlicher entgeltlicher Gebrauchsüberlassung an den Endverbraucher;</w:t>
      </w:r>
    </w:p>
    <w:p>
      <w:pPr>
        <w:ind w:left="420"/>
      </w:pPr>
      <w:r>
        <w:t xml:space="preserve">16. ist Ausstellen das Aufstellen oder Vorführen von Produkten für den Endverbraucher am Verkaufsort zu Werbezwecken;</w:t>
      </w:r>
    </w:p>
    <w:p>
      <w:pPr>
        <w:ind w:left="420"/>
      </w:pPr>
      <w:r>
        <w:t xml:space="preserve">17. ist Rückruf jede Maßnahme, die darauf abzielt, die Rückgabe eines dem Endverbraucher bereitgestellten Produkts zu erwirken;</w:t>
      </w:r>
    </w:p>
    <w:p>
      <w:pPr>
        <w:ind w:left="420"/>
      </w:pPr>
      <w:r>
        <w:t xml:space="preserve">18. ist Rücknahme jede Maßnahme, mit der verhindert werden soll, dass ein Produkt, das sich in der Lieferkette befindet, auf dem Markt bereitgestellt wird;</w:t>
      </w:r>
    </w:p>
    <w:p>
      <w:pPr>
        <w:ind w:left="420"/>
      </w:pPr>
      <w:r>
        <w:t xml:space="preserve">19. ist Marktüberwachung jede von den zuständigen Behörden durchgeführte Tätigkeit und von ihnen getroffene Maßnahme, durch die sichergestellt werden soll, dass ein Produkt mit den Anforderungen dieses Gesetzes übereinstimmt;</w:t>
      </w:r>
    </w:p>
    <w:p>
      <w:pPr>
        <w:ind w:left="420"/>
      </w:pPr>
      <w:r>
        <w:t xml:space="preserve">20. ist Marktüberwachungsbehörde jede Behörde, die für die Durchführung der Marktüberwachung zuständig ist;</w:t>
      </w:r>
    </w:p>
    <w:p>
      <w:pPr>
        <w:ind w:left="420"/>
      </w:pPr>
      <w:r>
        <w:t xml:space="preserve">21. ist akkreditierte Konformitätsbewertungsstelle eine Stelle, die Konformitätsbewertungen einschließlich Kalibrierungen, Prüfungen, Zertifizierungen und Inspektionen durchführt und über eine Akkreditierung einer nationalen Akkreditierungsstelle nach Artikel 4 Absatz 1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verfügt;</w:t>
      </w:r>
    </w:p>
    <w:p>
      <w:pPr>
        <w:ind w:left="420"/>
      </w:pPr>
      <w:r>
        <w:t xml:space="preserve">22. ist notifizierte Stelle eine Stelle, die Konformitätsbewertungen durchführt und der Europäischen Kommission von einem Mitgliedstaat der Europäischen Union oder einem anderen Vertragsstaat des Abkommens über den Europäischen Wirtschaftsraum auf Grund eines europäischen Rechtsaktes mitgeteilt worden ist;</w:t>
      </w:r>
    </w:p>
    <w:p>
      <w:pPr>
        <w:ind w:left="420"/>
      </w:pPr>
      <w:r>
        <w:t xml:space="preserve">23. sind öffentlich bestellte und vereidigte Sachverständige Sachverständige im Sinne der §§ 36 und 36a der Gewerbeordnung;</w:t>
      </w:r>
    </w:p>
    <w:p>
      <w:pPr>
        <w:ind w:left="420"/>
      </w:pPr>
      <w:r>
        <w:t xml:space="preserve">24. sind die für die Kontrolle der Außengrenzen zuständigen Behörden die Zollbehörden gemäß § 17 Absatz 2 Satz 2 des Zollverwaltungsgesetzes;</w:t>
      </w:r>
    </w:p>
    <w:p>
      <w:pPr>
        <w:ind w:left="420"/>
      </w:pPr>
      <w:r>
        <w:t xml:space="preserve">25. ist Tankstelle eine öffentliche Tankanlage mit Personal, an der über eine ortsfeste Vorrichtung Kraftstoffe für Personenkraftwagen abgegeben werden können;</w:t>
      </w:r>
    </w:p>
    <w:p>
      <w:pPr>
        <w:ind w:left="420"/>
      </w:pPr>
      <w:r>
        <w:t xml:space="preserve">26. ist Mehrproduktzapfsäule eine Anlage zur Abgabe des Kraftstoffes, die mehrere Kraftstoffarten über getrennte Zapfventile bereitstellen kann; dabei ist unerheblich, ob an der Mehrproduktzapfsäule ein oder mehrere Kraftfahrzeuge gleichzeitig tanken können;</w:t>
      </w:r>
    </w:p>
    <w:p>
      <w:pPr>
        <w:ind w:left="420"/>
      </w:pPr>
      <w:r>
        <w:t xml:space="preserve">27. ist Energiekostenvergleich die Darstellung der auf Kostenbasis normierten Energieverbrauchsangaben;</w:t>
      </w:r>
    </w:p>
    <w:p>
      <w:pPr>
        <w:ind w:left="420"/>
      </w:pPr>
      <w:r>
        <w:t xml:space="preserve">28. ist Tankstellenbetreiber, wer die tatsächliche oder rechtliche Möglichkeit hat, die notwendigen Entscheidungen im Hinblick auf die Anzeige des Energiekostenvergleiches gemäß der Anlage zu treffen.</w:t>
      </w:r>
    </w:p>
    <w:p>
      <w:r>
        <w:rPr>
          <w:color w:val="555555"/>
          <w:sz w:val="17"/>
        </w:rPr>
        <w:t xml:space="preserve">Zitiervorschlag: § 2 EnVKG 2012</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