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EnVKG 2012 — Berechtigung zur Abrechnung von Etiketten</w:t>
      </w:r>
    </w:p>
    <w:p>
      <w:r>
        <w:rPr>
          <w:color w:val="555555"/>
          <w:sz w:val="18"/>
        </w:rPr>
        <w:t xml:space="preserve">Energieverbrauchskennzeichnungsgesetz</w:t>
      </w:r>
    </w:p>
    <w:p>
      <w:r>
        <w:rPr>
          <w:color w:val="555555"/>
          <w:sz w:val="18"/>
        </w:rPr>
        <w:t xml:space="preserve">Stand: 06.08.2026 (konsolidierte Textfassung, kein amtliches Inkrafttretensdatum)</w:t>
      </w:r>
    </w:p>
    <w:p>
      <w:r>
        <w:t xml:space="preserve">Ein Bezirksschornsteinfeger, der nach § 17 Absatz 3 dieses Gesetzes in der bis zum Ablauf des 29. Juli 2026 geltenden Fassung einen Anspruch auf eine Aufwandsentschädigung erworben hat, kann diesen Anspruch bis zum Ablauf des 23. August 2026 beim Bundesamt für Wirtschaft und Ausfuhrkontrolle geltend machen.</w:t>
      </w:r>
    </w:p>
    <w:p>
      <w:r>
        <w:rPr>
          <w:color w:val="555555"/>
          <w:sz w:val="17"/>
        </w:rPr>
        <w:t xml:space="preserve">Zitiervorschlag: § 16 EnVKG 2012</w:t>
      </w:r>
    </w:p>
    <w:p>
      <w:r>
        <w:rPr>
          <w:color w:val="555555"/>
          <w:sz w:val="17"/>
        </w:rPr>
        <w:t xml:space="preserve">Quelle: Bundesamt für Justiz, abgerufen 06.08.2026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https://recht.nulegal.eu/gesetze/EnVKG%202012/16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