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EnVKG 2012 — Anwendungsbereich</w:t>
      </w:r>
    </w:p>
    <w:p>
      <w:r>
        <w:rPr>
          <w:color w:val="555555"/>
          <w:sz w:val="18"/>
        </w:rPr>
        <w:t xml:space="preserve">Energieverbrauchskennzeichnungsgesetz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Dieses Gesetz ist anzuwenden für die Kennzeichnung von neu in Verkehr gebrachten Produkten mit Angaben über den Verbrauch an Energie und an anderen wichtigen Ressourcen sowie Kohlendioxid-Emissionen mittels Verbrauchskennzeichnung, sonstigen Produktinformationen und Angaben in der Werbung und in sonstigen Werbeinformationen. Neben den Angaben im Sinne des Satzes 1 sind auch Angaben über die Auswirkungen von Produkten auf den Verbrauch an Energie und auf andere wichtige Ressourcen vom Anwendungsbereich dieses Gesetzes erfasst.</w:t>
      </w:r>
    </w:p>
    <w:p>
      <w:r>
        <w:t xml:space="preserve">(2) Dieses Gesetz ist nicht anzuwenden auf</w:t>
      </w:r>
    </w:p>
    <w:p>
      <w:pPr>
        <w:ind w:left="420"/>
      </w:pPr>
      <w:r>
        <w:t xml:space="preserve">1. gebrauchte Produkte,</w:t>
      </w:r>
    </w:p>
    <w:p>
      <w:pPr>
        <w:ind w:left="420"/>
      </w:pPr>
      <w:r>
        <w:t xml:space="preserve">2. Etiketten, Beschriftungen, Leistungsschilder oder sonstige Informationen und Zeichen, die aus Sicherheitsgründen an Produkten angebracht werden, und</w:t>
      </w:r>
    </w:p>
    <w:p>
      <w:pPr>
        <w:ind w:left="420"/>
      </w:pPr>
      <w:r>
        <w:t xml:space="preserve">3. Produkte, die ausschließlich zur Verwendung für militärische Zwecke bestimmt sind.</w:t>
      </w:r>
    </w:p>
    <w:p>
      <w:r>
        <w:rPr>
          <w:color w:val="555555"/>
          <w:sz w:val="17"/>
        </w:rPr>
        <w:t xml:space="preserve">Zitiervorschlag: § 1 EnVKG 2012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https://recht.nulegal.eu/gesetze/EnVKG%202012/1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