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EnStatWassV</w:t>
      </w:r>
    </w:p>
    <w:p>
      <w:r>
        <w:rPr>
          <w:color w:val="555555"/>
          <w:sz w:val="18"/>
        </w:rPr>
        <w:t xml:space="preserve">Energiestatistik-Verordnung Wasserstoff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EnStatWassV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https://recht.nulegal.eu/gesetze/EnStatWassV/schlussformel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