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EnStatWassV</w:t>
      </w:r>
    </w:p>
    <w:p>
      <w:r>
        <w:rPr>
          <w:color w:val="555555"/>
          <w:sz w:val="18"/>
        </w:rPr>
        <w:t xml:space="preserve">Energiestatistik-Verordnung Wasserstoff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Auf Grund des § 12 Absatz 1 Nummer 3 des Energiestatistikgesetzes, der durch Artikel 80 des Gesetzes vom 20. November 2019 (BGBl. I S. 1626) geändert worden ist, verordnet die Bundesregierung:</w:t>
      </w:r>
    </w:p>
    <w:p>
      <w:r>
        <w:rPr>
          <w:color w:val="555555"/>
          <w:sz w:val="17"/>
        </w:rPr>
        <w:t xml:space="preserve">Zitiervorschlag: Eingangsformel EnStatWassV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https://recht.nulegal.eu/gesetze/EnStatWassV/eingangsformel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