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EnStatWassV — Inkrafttreten</w:t>
      </w:r>
    </w:p>
    <w:p>
      <w:r>
        <w:rPr>
          <w:color w:val="555555"/>
          <w:sz w:val="18"/>
        </w:rPr>
        <w:t xml:space="preserve">Energiestatistik-Verordnung Wasserstoff</w:t>
      </w:r>
    </w:p>
    <w:p>
      <w:r>
        <w:rPr>
          <w:color w:val="555555"/>
          <w:sz w:val="18"/>
        </w:rPr>
        <w:t xml:space="preserve">Stand: 31.12.2024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EnStatWassV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https://recht.nulegal.eu/gesetze/EnStatWassV/2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