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EnStatG 2017 — Erhebungen über Kohleeinfuhr und -ausfuhr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erfasst, jeweils bezogen auf das Inland, bei allen Unternehmen, die Braunkohle, Braunkohleprodukte, Steinkohle, Steinkohlenkoks oder -briketts ein- oder ausführen, monatlich Angaben zu folgenden Erhebungsmerkmalen:</w:t>
      </w:r>
    </w:p>
    <w:p>
      <w:pPr>
        <w:ind w:left="420"/>
      </w:pPr>
      <w:r>
        <w:t xml:space="preserve">1. die Einfuhr und Ausfuhr von Kohle, jeweils getrennt nach Staaten sowie nach Kohlearten, Energiegehalten und Grenzübergangswerten,</w:t>
      </w:r>
    </w:p>
    <w:p>
      <w:pPr>
        <w:ind w:left="420"/>
      </w:pPr>
      <w:r>
        <w:t xml:space="preserve">2. die Menge des Bestands, getrennt nach Kohlearten,</w:t>
      </w:r>
    </w:p>
    <w:p>
      <w:pPr>
        <w:ind w:left="420"/>
      </w:pPr>
      <w:r>
        <w:t xml:space="preserve">3. die abgegebene Menge, jeweils getrennt nach Kohlearten sowie innerhalb der Kohlearten jeweils getrennt nach Abnehmer- und Verbrauchergruppen.</w:t>
      </w:r>
    </w:p>
    <w:p>
      <w:r>
        <w:rPr>
          <w:color w:val="555555"/>
          <w:sz w:val="17"/>
        </w:rPr>
        <w:t xml:space="preserve">Zitiervorschlag: § 6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