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EnStatG 2017 — Durchführung der Erhebung, Übermittlungsfrist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nach § 4 Absatz 1 und 2 sowie § 6 werden vom Statistischen Bundesamt durchgeführt.</w:t>
      </w:r>
    </w:p>
    <w:p>
      <w:r>
        <w:t xml:space="preserve">(2) Die Angaben zu § 4 Absatz 1 sind dem Statistischen Bundesamt spätestens am 27. Tag des dem Berichtsmonat folgenden Monats zu übermitteln.</w:t>
      </w:r>
    </w:p>
    <w:p>
      <w:r>
        <w:rPr>
          <w:color w:val="555555"/>
          <w:sz w:val="17"/>
        </w:rPr>
        <w:t xml:space="preserve">Zitiervorschlag: § 11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