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EnSimiMaV — Inkrafttreten, Außerkrafttreten</w:t>
      </w:r>
    </w:p>
    <w:p>
      <w:r>
        <w:rPr>
          <w:color w:val="555555"/>
          <w:sz w:val="18"/>
        </w:rPr>
        <w:t xml:space="preserve">Mittelfristenergieversorgungssicherungsmaßnahmenverordnung</w:t>
      </w:r>
    </w:p>
    <w:p>
      <w:r>
        <w:rPr>
          <w:color w:val="555555"/>
          <w:sz w:val="18"/>
        </w:rPr>
        <w:t xml:space="preserve">Historische Fassung: Stand 01.10.2022 bis 01.10.2024. Dies ist nicht die aktuelle Fassung.</w:t>
      </w:r>
    </w:p>
    <w:p>
      <w:r>
        <w:t xml:space="preserve">Diese Verordnung tritt am 1. Oktober 2022 in Kraft und mit Ablauf des 30. September 2024 außer Kraft.</w:t>
      </w:r>
    </w:p>
    <w:p>
      <w:r>
        <w:rPr>
          <w:color w:val="555555"/>
          <w:sz w:val="17"/>
        </w:rPr>
        <w:t xml:space="preserve">Zitiervorschlag: § 5 EnSimiMaV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https://recht.nulegal.eu/gesetze/EnSimiMaV/5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