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EnSimiMaV — Umsetzung wirtschaftlicher Energieeffizienzmaßnahmen in Unternehmen</w:t>
      </w:r>
    </w:p>
    <w:p>
      <w:r>
        <w:rPr>
          <w:color w:val="555555"/>
          <w:sz w:val="18"/>
        </w:rPr>
        <w:t xml:space="preserve">Mittelfristenergieversorgungssicherungsmaßnahmenverordnung</w:t>
      </w:r>
    </w:p>
    <w:p>
      <w:r>
        <w:rPr>
          <w:color w:val="555555"/>
          <w:sz w:val="18"/>
        </w:rPr>
        <w:t xml:space="preserve">Historische Fassung: Stand 01.10.2022 bis 01.10.2024. Dies ist nicht die aktuelle Fassung.</w:t>
      </w:r>
    </w:p>
    <w:p>
      <w:r>
        <w:t xml:space="preserve">(1) Unternehmen sind verpflichtet, in den Energieaudits nach § 8 des Gesetzes über Energiedienstleistungen und andere Energieeffizienzmaßnahmen sowie im Rahmen eines Energie- oder Umweltmanagementsystemen nach § 8 Absatz 3 Nummer 1 und 2 des Gesetzes über Energiedienstleistungen und andere Energieeffizienzmaßnahmen alle konkret identifizierten und als wirtschaftlich durchführbar bewerteten Maßnahmen umzusetzen, um die Energieeffizienz ihrem Unternehmen unverzüglich zu verbessern. Diese Maßnahmen sind spätestens innerhalb von 18 Monaten umzusetzen. Eine Maßnahme gilt als wirtschaftlich durchführbar, wenn sich bei der Wirtschaftlichkeitsbetrachtung der Maßnahme nach DIN EN 17463, Ausgabe Dezember 2021, nach maximal 20 Prozent der Nutzungsdauer ein positiver Kapitalwert ergibt, jedoch begrenzt auf einen Bewertungszeitraum von maximal 15 Jahren.</w:t>
      </w:r>
    </w:p>
    <w:p>
      <w:r>
        <w:t xml:space="preserve">(2) Unternehmen sind verpflichtet, durch Zertifizierer, Umweltgutachter oder Energieauditoren die Maßnahmen bestätigen zu lassen, die nach Absatz 1 umgesetzt und die aufgrund ihrer fehlenden Wirtschaftlichkeit nicht umgesetzt wurden.</w:t>
      </w:r>
    </w:p>
    <w:p>
      <w:r>
        <w:t xml:space="preserve">(3) Die Pflichten zur Umsetzung von Maßnahmen nach den Absätzen 1 und 2 sind nicht für Anlagen anzuwenden, die nach § 4 des Bundesimmissionsschutzgesetzes genehmigungsbedürftig sind, sofern für diese Anlagen speziellere Anforderungen zur Umsetzung von Energieeffizienzmaßnahmen bestehen.</w:t>
      </w:r>
    </w:p>
    <w:p>
      <w:r>
        <w:t xml:space="preserve">(4) Die Pflichten zur Umsetzung von Maßnahmen nach den Absätzen 1 und 2 sind zudem nicht für Unternehmen anzuwenden, deren Gesamtenergieverbrauch innerhalb der letzten drei Jahre im Durchschnitt weniger als 10 Gigawattstunden pro Jahr betrug.</w:t>
      </w:r>
    </w:p>
    <w:p>
      <w:r>
        <w:rPr>
          <w:color w:val="555555"/>
          <w:sz w:val="17"/>
        </w:rPr>
        <w:t xml:space="preserve">Zitiervorschlag: § 4 EnSimiMaV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https://recht.nulegal.eu/gesetze/EnSimiMaV/4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