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EnSimiMaV — Anwendungsbereich</w:t>
      </w:r>
    </w:p>
    <w:p>
      <w:r>
        <w:rPr>
          <w:color w:val="555555"/>
          <w:sz w:val="18"/>
        </w:rPr>
        <w:t xml:space="preserve">Mittelfristenergieversorgungssicherungsmaßnahmenverordnung</w:t>
      </w:r>
    </w:p>
    <w:p>
      <w:r>
        <w:rPr>
          <w:color w:val="555555"/>
          <w:sz w:val="18"/>
        </w:rPr>
        <w:t xml:space="preserve">Historische Fassung: Stand 01.10.2022 bis 01.10.2024. Dies ist nicht die aktuelle Fassung.</w:t>
      </w:r>
    </w:p>
    <w:p>
      <w:r>
        <w:t xml:space="preserve">Diese Verordnung regelt technische Energieeinsparmaßnahmen in Gebäuden und verpflichtet Unternehmen dazu, Energiemanagementsysteme umzusetzen.</w:t>
      </w:r>
    </w:p>
    <w:p>
      <w:r>
        <w:rPr>
          <w:color w:val="555555"/>
          <w:sz w:val="17"/>
        </w:rPr>
        <w:t xml:space="preserve">Zitiervorschlag: § 1 EnSimiMaV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https://recht.nulegal.eu/gesetze/EnSimiMaV/1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