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EnSikuMaV</w:t>
      </w:r>
    </w:p>
    <w:p>
      <w:r>
        <w:rPr>
          <w:color w:val="555555"/>
          <w:sz w:val="18"/>
        </w:rPr>
        <w:t xml:space="preserve">Kurzfristenergieversorgungssicherungsmaßnahmenverordnung</w:t>
      </w:r>
    </w:p>
    <w:p>
      <w:r>
        <w:rPr>
          <w:color w:val="555555"/>
          <w:sz w:val="18"/>
        </w:rPr>
        <w:t xml:space="preserve">Historische Fassung: Stand 17.02.2023 bis 25.06.2023. Dies ist nicht die aktuelle Fassung.</w:t>
      </w:r>
    </w:p>
    <w:p>
      <w:r>
        <w:t xml:space="preserve">Auf Grund des § 30 Absatz 1 Nummer 1 in Verbindung mit Absatz 2 Nummer 1, Absatz 3 Satz 1 und Absatz 4 Satz 1 sowie mit § 1 Absatz 4 des Energiesicherungsgesetzes vom 20. Dezember 1974 (BGBl. I S. 3681), von denen § 30 durch Artikel 4 Nummer 9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EnSikuMaV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https://recht.nulegal.eu/gesetze/EnSikuMaV/eingangsformel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