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EnSikuMaV — Mindestwerte der Lufttemperatur für Arbeitsräume in Arbeitsstätten</w:t>
      </w:r>
    </w:p>
    <w:p>
      <w:r>
        <w:rPr>
          <w:color w:val="555555"/>
          <w:sz w:val="18"/>
        </w:rPr>
        <w:t xml:space="preserve">Kurzfristenergieversorgungssicherungsmaßnahmenverordnung</w:t>
      </w:r>
    </w:p>
    <w:p>
      <w:r>
        <w:rPr>
          <w:color w:val="555555"/>
          <w:sz w:val="18"/>
        </w:rPr>
        <w:t xml:space="preserve">Historische Fassung: Stand 17.02.2023 bis 25.06.2023. Dies ist nicht die aktuelle Fassung.</w:t>
      </w:r>
    </w:p>
    <w:p>
      <w:r>
        <w:t xml:space="preserve">Für Arbeitsräume in Arbeitsstätten gelten die in § 6 Absatz 1 Satz 1 festgelegten Höchstwerte für die Lufttemperatur als Mindesttemperaturwerte.</w:t>
      </w:r>
    </w:p>
    <w:p>
      <w:r>
        <w:rPr>
          <w:color w:val="555555"/>
          <w:sz w:val="17"/>
        </w:rPr>
        <w:t xml:space="preserve">Zitiervorschlag: § 12 EnSikuMaV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https://recht.nulegal.eu/gesetze/EnSikuMaV/12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