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EnSikuMaV — Anwendungsbereich</w:t>
      </w:r>
    </w:p>
    <w:p>
      <w:r>
        <w:rPr>
          <w:color w:val="555555"/>
          <w:sz w:val="18"/>
        </w:rPr>
        <w:t xml:space="preserve">Kurzfristenergieversorgungssicherungsmaßnahmenverordnung</w:t>
      </w:r>
    </w:p>
    <w:p>
      <w:r>
        <w:rPr>
          <w:color w:val="555555"/>
          <w:sz w:val="18"/>
        </w:rPr>
        <w:t xml:space="preserve">Historische Fassung: Stand 17.02.2023 bis 25.06.2023. Dies ist nicht die aktuelle Fassung.</w:t>
      </w:r>
    </w:p>
    <w:p>
      <w:r>
        <w:t xml:space="preserve">Diese Verordnung regelt Energieeinsparmaßnahmen für Wohnräume, Schwimm- oder Badebecken, Nichtwohngebäude und Baudenkmäler sowie für Unternehmen.</w:t>
      </w:r>
    </w:p>
    <w:p>
      <w:r>
        <w:rPr>
          <w:color w:val="555555"/>
          <w:sz w:val="17"/>
        </w:rPr>
        <w:t xml:space="preserve">Zitiervorschlag: § 1 EnSikuMaV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https://recht.nulegal.eu/gesetze/EnSikuMaV/1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