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EnSiTrV — Inkrafttreten, Außerkrafttreten</w:t>
      </w:r>
    </w:p>
    <w:p>
      <w:r>
        <w:rPr>
          <w:color w:val="555555"/>
          <w:sz w:val="18"/>
        </w:rPr>
        <w:t xml:space="preserve">Energiesicherungstransportverordnung</w:t>
      </w:r>
    </w:p>
    <w:p>
      <w:r>
        <w:rPr>
          <w:color w:val="555555"/>
          <w:sz w:val="18"/>
        </w:rPr>
        <w:t xml:space="preserve">Historische Fassung: Stand 01.09.2023 bis 01.04.2024. Dies ist nicht die aktuelle Fassung.</w:t>
      </w:r>
    </w:p>
    <w:p>
      <w:r>
        <w:t xml:space="preserve">(1) Diese Verordnung tritt am Tag nach der Verkündung in Kraft.</w:t>
      </w:r>
    </w:p>
    <w:p>
      <w:r>
        <w:t xml:space="preserve">(2) Diese Verordnung tritt mit Ablauf des 31. März 2024 außer Kraft.</w:t>
      </w:r>
    </w:p>
    <w:p>
      <w:r>
        <w:rPr>
          <w:color w:val="555555"/>
          <w:sz w:val="17"/>
        </w:rPr>
        <w:t xml:space="preserve">Zitiervorschlag: § 8 EnSiTrV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