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EnSiTrV — Übertragung der Befugnis zum Erlass von Rechtsverordnungen</w:t>
      </w:r>
    </w:p>
    <w:p>
      <w:r>
        <w:rPr>
          <w:color w:val="555555"/>
          <w:sz w:val="18"/>
        </w:rPr>
        <w:t xml:space="preserve">Energiesicherungstransportverordnung</w:t>
      </w:r>
    </w:p>
    <w:p>
      <w:r>
        <w:rPr>
          <w:color w:val="555555"/>
          <w:sz w:val="18"/>
        </w:rPr>
        <w:t xml:space="preserve">Historische Fassung: Stand 01.09.2023 bis 01.04.2024. Dies ist nicht die aktuelle Fassung.</w:t>
      </w:r>
    </w:p>
    <w:p>
      <w:r>
        <w:t xml:space="preserve">Dem Bundesministerium für Wirtschaft und Klimaschutz wird die Befugnis übertragen, durch Rechtsverordnung nach § 30 Absatz 1 Nummer 2 des Energiesicherungsgesetzes die Anlage ganz oder teilweise zu ändern.</w:t>
      </w:r>
    </w:p>
    <w:p>
      <w:r>
        <w:rPr>
          <w:color w:val="555555"/>
          <w:sz w:val="17"/>
        </w:rPr>
        <w:t xml:space="preserve">Zitiervorschlag: § 7 EnSiTrV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