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EnSiTrV — Befugnisse der Regulierungsbehörde</w:t>
      </w:r>
    </w:p>
    <w:p>
      <w:r>
        <w:rPr>
          <w:color w:val="555555"/>
          <w:sz w:val="18"/>
        </w:rPr>
        <w:t xml:space="preserve">Energiesicherungstransportverordnung</w:t>
      </w:r>
    </w:p>
    <w:p>
      <w:r>
        <w:rPr>
          <w:color w:val="555555"/>
          <w:sz w:val="18"/>
        </w:rPr>
        <w:t xml:space="preserve">Historische Fassung: Stand 01.09.2023 bis 01.04.2024. Dies ist nicht die aktuelle Fassung.</w:t>
      </w:r>
    </w:p>
    <w:p>
      <w:r>
        <w:t xml:space="preserve">(1) Die Bundesnetzagentur für Elektrizität, Gas, Telekommunikation, Post und Eisenbahnen kann von den Betreibern von Eisenbahnanlagen, den Betreibern einer Serviceeinrichtung und den Zugangsberechtigten im Sinne des § 1 Absatz 12 des Eisenbahnregulierungsgesetzes nach einer Unterrichtung nach § 4 Absatz 6 die Vorlage der Erklärung nach § 1 Absatz 3 Nummer 2 oder des Nachweises nach § 3 Absatz 3 sowie der Vorlage der Kündigungsgründe nach § 4 Absatz 4 verlangen, die die Erforderlichkeit der getroffenen Maßnahme belegen.</w:t>
      </w:r>
    </w:p>
    <w:p>
      <w:r>
        <w:t xml:space="preserve">(2) Im Übrigen gelten die Vorschriften des Kapitels 4 des Eisenbahnregulierungsgesetzes entsprechend, soweit in dieser Verordnung oder im Energiesicherungsgesetz nichts Abweichendes geregelt ist.</w:t>
      </w:r>
    </w:p>
    <w:p>
      <w:r>
        <w:rPr>
          <w:color w:val="555555"/>
          <w:sz w:val="17"/>
        </w:rPr>
        <w:t xml:space="preserve">Zitiervorschlag: § 5 EnSiTrV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