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EnSiGEntschV — Klagen wegen der hinterlegten Summe</w:t>
      </w:r>
    </w:p>
    <w:p>
      <w:r>
        <w:rPr>
          <w:color w:val="555555"/>
          <w:sz w:val="18"/>
        </w:rPr>
        <w:t xml:space="preserve">Energiesicherungsgesetzentschädigungsverordnung</w:t>
      </w:r>
    </w:p>
    <w:p>
      <w:r>
        <w:rPr>
          <w:color w:val="555555"/>
          <w:sz w:val="18"/>
        </w:rPr>
        <w:t xml:space="preserve">Stand: 10.06.2019 (konsolidierte Textfassung, kein amtliches Inkrafttretensdatum)</w:t>
      </w:r>
    </w:p>
    <w:p>
      <w:r>
        <w:t xml:space="preserve">Wird der als Entschädigung oder Härteausgleich zu zahlende Betrag nach Maßgabe der Vorschriften dieser Verordnung hinterlegt, so kann jeder Beteiligte sein Recht an dem hinterlegten Betrag gegen einen Mitbeteiligten, der dieses Recht bestreitet, vor den ordentlichen Gerichten geltend machen oder die Einleitung des gerichtlichen Verteilungsverfahrens beantragen. Für das Verteilungsverfahren ist das Amtsgericht zuständig, bei dem der Betrag hinterlegt worden ist. Die Vorschriften der Zivilprozeßordnung über das Verteilungsverfahren sind sinngemäß anzuwenden; ist die Hinterlegung durch die Anordnung einer Maßnahme veranlaßt, die auf die Abgabe eines Gutes gerichtet ist, auf das sich ein Grundpfandrecht, eine Schiffshypothek oder ein Registerpfandrecht eines Beteiligten erstreckt, so sind auf das Verteilungsverfahren die Vorschriften über die Verteilung des Erlöses im Falle der Zwangsversteigerung sinngemäß anzuwenden.</w:t>
      </w:r>
    </w:p>
    <w:p>
      <w:r>
        <w:rPr>
          <w:color w:val="555555"/>
          <w:sz w:val="17"/>
        </w:rPr>
        <w:t xml:space="preserve">Zitiervorschlag: § 8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