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EnSiGEntschV — Vollstreckung</w:t>
      </w:r>
    </w:p>
    <w:p>
      <w:r>
        <w:rPr>
          <w:color w:val="555555"/>
          <w:sz w:val="18"/>
        </w:rPr>
        <w:t xml:space="preserve">Energiesicherungsgesetzentschädigungsverordnung</w:t>
      </w:r>
    </w:p>
    <w:p>
      <w:r>
        <w:rPr>
          <w:color w:val="555555"/>
          <w:sz w:val="18"/>
        </w:rPr>
        <w:t xml:space="preserve">Stand: 10.06.2019 (konsolidierte Textfassung, kein amtliches Inkrafttretensdatum)</w:t>
      </w:r>
    </w:p>
    <w:p>
      <w:r>
        <w:t xml:space="preserve">(1) Die Niederschrift über die Einigung nach § 3 Abs. 2 ist nach Zustellung an die Beteiligten vollstreckbar. Der Festsetzungsbescheid nach § 4 Abs. 1 ist den Beteiligten gegenüber vollstreckbar, wenn er für diese unanfechtbar geworden ist oder das Gericht ihn für vorläufig vollstreckbar erklärt hat.</w:t>
      </w:r>
    </w:p>
    <w:p>
      <w:r>
        <w:t xml:space="preserve">(2) Die Zwangsvollstreckung richtet sich nach den Vorschriften der Zivilprozeßordnung über die Vollstreckung von Urteilen in bürgerlichen Rechtsstreitigkeiten. Die vollstreckbare Ausfertigung wird von dem Urkundsbeamten der Geschäftsstelle des Amtsgerichts erteilt, in dessen Bezirk die zuständige Behörde ihren Sitz hat, und, wenn das Verfahren bei einem Gericht anhängig ist, von dem Urkundsbeamten der Geschäftsstelle dieses Gerichts. In den Fällen der §§ 731, 767 bis 770, 785, 786, 791 der Zivilprozeßordnung tritt das Amtsgericht, in dessen Bezirk die zuständige Behörde ihren Sitz hat, an die Stelle des Prozeßgerichts.</w:t>
      </w:r>
    </w:p>
    <w:p>
      <w:r>
        <w:rPr>
          <w:color w:val="555555"/>
          <w:sz w:val="17"/>
        </w:rPr>
        <w:t xml:space="preserve">Zitiervorschlag: § 5 EnSiGEntschV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https://recht.nulegal.eu/gesetze/EnSiGEntschV/5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