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EnSiGEntschV — Inkrafttreten</w:t>
      </w:r>
    </w:p>
    <w:p>
      <w:r>
        <w:rPr>
          <w:color w:val="555555"/>
          <w:sz w:val="18"/>
        </w:rPr>
        <w:t xml:space="preserve">Energiesicherungsgesetzentschädigungsverordnung</w:t>
      </w:r>
    </w:p>
    <w:p>
      <w:r>
        <w:rPr>
          <w:color w:val="555555"/>
          <w:sz w:val="18"/>
        </w:rPr>
        <w:t xml:space="preserve">Stand: 13.07.2022 (konsolidierte Textfassung, kein amtliches Inkrafttretensdatum)</w:t>
      </w:r>
    </w:p>
    <w:p>
      <w:r>
        <w:t xml:space="preserve">Diese Verordnung tritt am Tage nach ihrer Verkündung in Kraft.</w:t>
      </w:r>
    </w:p>
    <w:p>
      <w:r>
        <w:rPr>
          <w:color w:val="555555"/>
          <w:sz w:val="17"/>
        </w:rPr>
        <w:t xml:space="preserve">Zitiervorschlag: § 16 EnSiGEntschV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https://recht.nulegal.eu/gesetze/EnSiGEntschV/16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