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EnSiGEntschV — Klage in Sonderfällen</w:t>
      </w:r>
    </w:p>
    <w:p>
      <w:r>
        <w:rPr>
          <w:color w:val="555555"/>
          <w:sz w:val="18"/>
        </w:rPr>
        <w:t xml:space="preserve">Energiesicherungsgesetzentschädigungsverordnung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eine oberste Bundes- oder oberste Landesbehörde die Entschädigung oder den Härteausgleich festgesetzt, so kann die Klage nach § 10 ohne vorherige Einlegung eines Widerspruchs binnen zwei Monaten nach Zustellung des Festsetzungsbescheides erhoben werden.</w:t>
      </w:r>
    </w:p>
    <w:p>
      <w:r>
        <w:rPr>
          <w:color w:val="555555"/>
          <w:sz w:val="17"/>
        </w:rPr>
        <w:t xml:space="preserve">Zitiervorschlag: § 11 EnSiGEntschV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https://recht.nulegal.eu/gesetze/EnSiGEntschV/11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