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31a EnSiG 1975 — Übergangsbestimmung</w:t>
      </w:r>
    </w:p>
    <w:p>
      <w:r>
        <w:rPr>
          <w:color w:val="555555"/>
          <w:sz w:val="18"/>
        </w:rPr>
        <w:t xml:space="preserve">Energiesicherungsgesetz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§ 17 Absatz 1, § 18 Absatz 2 Satz 1 Nummer 1 und § 29 Absatz 1 Satz 1 sind erst anzuwenden, wenn eine auf der Grundlage von § 4 Absatz 3 und § 5 Absatz 1 des KRITIS-Dachgesetzes erlassene Rechtsverordnung gilt. Bis zur Geltung dieser Rechtsverordnung sind § 17 Absatz 1, § 18 Absatz 2 Satz 1 Nummer 1 und § 29 Absatz 1 Satz 1 in der bis einschließlich 16. März 2026 geltenden Fassung weiter anzuwenden.</w:t>
      </w:r>
    </w:p>
    <w:p>
      <w:r>
        <w:rPr>
          <w:color w:val="555555"/>
          <w:sz w:val="17"/>
        </w:rPr>
        <w:t xml:space="preserve">Zitiervorschlag: § 31a EnSiG 1975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https://recht.nulegal.eu/gesetze/EnSiG%201975/31a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