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23a EnSiG 1975 — Enteignung von beweglichen Sachen und Zugang zu Unterlagen</w:t>
      </w:r>
    </w:p>
    <w:p>
      <w:r>
        <w:rPr>
          <w:color w:val="555555"/>
          <w:sz w:val="18"/>
        </w:rPr>
        <w:t xml:space="preserve">Energiesicherungsgesetz</w:t>
      </w:r>
    </w:p>
    <w:p>
      <w:r>
        <w:rPr>
          <w:color w:val="555555"/>
          <w:sz w:val="18"/>
        </w:rPr>
        <w:t xml:space="preserve">Stand: 23.12.2025 (konsolidierte Textfassung, kein amtliches Inkrafttretensdatum)</w:t>
      </w:r>
    </w:p>
    <w:p>
      <w:r>
        <w:t xml:space="preserve">(1) Zur Sicherung der Energieversorgung im Sinne des § 18 Absatz 1 können durch Verwaltungsakt Anordnungen getroffen werden über</w:t>
      </w:r>
    </w:p>
    <w:p>
      <w:pPr>
        <w:ind w:left="420"/>
      </w:pPr>
      <w:r>
        <w:t xml:space="preserve">1. die Enteignung von beweglichen Sachen, die für die Errichtung von Erdgasleitungen erforderlich sind und</w:t>
      </w:r>
    </w:p>
    <w:p>
      <w:pPr>
        <w:ind w:left="420"/>
      </w:pPr>
      <w:r>
        <w:t xml:space="preserve">2. den Zugang zu Unterlagen, insbesondere zu Dokumentationen, Schriftstücken, Zeichnungen, bildlichen Darstellungen und Aufzeichnungen einschließlich technischer Aufzeichnungen, und deren Nutzbarkeit, einschließlich der Einräumung von Nutzungsrechten in Bezug auf gewerbliche Schutzrechte und Urheberrechte, soweit Zugang und Nutzung die Errichtung von Erdgasleitungen ermöglichen oder ihre Errichtung beschleunigen können.</w:t>
      </w:r>
    </w:p>
    <w:p>
      <w:r>
        <w:t xml:space="preserve">(2) Enteignungsbegünstigte für Enteignungen im Sinne des Absatzes 1 Nummer 1 können auch private oder öffentliche Unternehmen sein, die Erdgasleitungen errichten und dafür Enteignungsgegenstände nach Absatz 1 Nummer 1 benötigen. Der Enteignungsgegenstand darf nur für den in Absatz 1 Nummer 1 bezeichneten Zweck verwendet werden.</w:t>
      </w:r>
    </w:p>
    <w:p>
      <w:r>
        <w:t xml:space="preserve">(3) Die Enteignung nach Absatz 1 Nummer 1 ist nur zulässig, wenn</w:t>
      </w:r>
    </w:p>
    <w:p>
      <w:pPr>
        <w:ind w:left="420"/>
      </w:pPr>
      <w:r>
        <w:t xml:space="preserve">1. sie zur Sicherung des Funktionierens des Gemeinwesens im Sektor Energie und zur Aufrechterhaltung der Versorgungssicherheit erforderlich ist,</w:t>
      </w:r>
    </w:p>
    <w:p>
      <w:pPr>
        <w:ind w:left="420"/>
      </w:pPr>
      <w:r>
        <w:t xml:space="preserve">2. der freihändige Erwerb oder die Herstellung dem Enteignungsgegenstand gleichwertiger Sachen nicht oder nicht in angemessener Frist möglich ist und</w:t>
      </w:r>
    </w:p>
    <w:p>
      <w:pPr>
        <w:ind w:left="420"/>
      </w:pPr>
      <w:r>
        <w:t xml:space="preserve">3. der Enteignungsbegünstigte sich ernsthaft um den freihändigen Erwerb des Enteignungsgegenstandes zu angemessenen Bedingungen vergeblich bemüht hat.</w:t>
      </w:r>
    </w:p>
    <w:p>
      <w:r>
        <w:t xml:space="preserve">§ 19 Absatz 2 Satz 1 ist entsprechend anzuwenden.</w:t>
      </w:r>
    </w:p>
    <w:p>
      <w:r>
        <w:t xml:space="preserve">(4) Für eine Enteignung nach Absatz 1 Nummer 1 ist eine Entschädigung in Höhe des Verkehrswertes des Enteignungsgegenstandes zu leisten. § 21 Absatz 1 Satz 2 und 3, Absatz 2, 4 Satz 1 und 2 und Absatz 5 ist entsprechend anzuwenden. In dem Verwaltungsakt nach Absatz 1 Nummer 1 sind Angaben zur Höhe der Entschädigung aufzunehmen, wenn diese zum Zeitpunkt des Erlasses des Verwaltungsaktes bereits feststeht. Der Verwaltungsakt muss die in § 19 Absatz 1 Satz 2 Nummer 1 bis 3 genannten Angaben enthalten.</w:t>
      </w:r>
    </w:p>
    <w:p>
      <w:r>
        <w:t xml:space="preserve">(5) Der Zugang zu und das Recht zur Nutzung von Unterlagen im Sinne des Absatzes 1 Nummer 2 können auch zugunsten privater oder öffentlicher Unternehmen angeordnet werden, die die Erdgasleitungen im Sinne des Absatzes 1 errichten.</w:t>
      </w:r>
    </w:p>
    <w:p>
      <w:r>
        <w:t xml:space="preserve">(6) Die Anordnung nach Absatz 1 Nummer 2 ist nur zulässig,</w:t>
      </w:r>
    </w:p>
    <w:p>
      <w:pPr>
        <w:ind w:left="420"/>
      </w:pPr>
      <w:r>
        <w:t xml:space="preserve">1. soweit die in den Unterlagen nach Absatz 1 Nummer 2 verkörperten Informationen nicht oder nicht in angemessener Frist auf andere Weise erlangt, erworben oder erstellt werden können und</w:t>
      </w:r>
    </w:p>
    <w:p>
      <w:pPr>
        <w:ind w:left="420"/>
      </w:pPr>
      <w:r>
        <w:t xml:space="preserve">2. wenn der von der Anordnung Begünstigte sich ernsthaft um den freihändigen Erwerb der Unterlagen und der Rechte zur Nutzung nach Absatz 1 Nummer 2 zu angemessenen Bedingungen vergeblich bemüht hat.</w:t>
      </w:r>
    </w:p>
    <w:p>
      <w:r>
        <w:t xml:space="preserve">In der Anordnung muss bestimmt werden, dass der Begünstigte die Rechte zur Nutzung nur solange und soweit ausüben darf, wie dies für die Errichtung von Erdgasleitungen im Sinne des Absatzes 1 notwendig ist. Die Anordnung kann bestimmen, dass der Zugang zu Unterlagen auch durch die Übermittlung von Kopien erfolgen kann, wenn diese den mit dem Zugang verfolgten Zweck in gleicher Weise erfüllen. Die herausgegebenen Unterlagen sind zurückzugeben, wenn das Recht zur Nutzung gemäß Satz 2 nicht mehr ausgeübt werden darf, dabei sind angefertigte Kopien zu vernichten. Die Vorschriften des Gesetzes zum Schutz von Geschäftsgeheimnissen vom 18. April 2019 (BGBl. I S. 466) bleiben unberührt.</w:t>
      </w:r>
    </w:p>
    <w:p>
      <w:r>
        <w:t xml:space="preserve">(7) Für die Nutzung der Unterlagen im Sinne des Absatzes 1 Nummer 2, einschließlich der Einräumung von Nutzungsrechten in Bezug auf gewerbliche Schutzrechte und Urheberrechte, ist durch den Bund auf Antrag ein im Einzelfall angemessenes Entgelt zu leisten. Die Höhe des Entgelts kann in einem selbständigen Verwaltungsakt festgelegt werden. Die Erstattungsansprüche des Bundes gegen denjenigen, zu dessen Gunsten die Nutzungsrechte eingeräumt werden, können auch durch Verwaltungsakt festgesetzt werden.</w:t>
      </w:r>
    </w:p>
    <w:p>
      <w:r>
        <w:t xml:space="preserve">(8) Verwaltungsakte nach dieser Vorschrift erlässt das Bundesministerium für Wirtschaft und Energie im Einvernehmen mit dem Bundesministerium der Finanzen. Eine Anfechtungsklage gegen einen Verwaltungsakt nach Absatz 1 hat keine aufschiebende Wirkung.</w:t>
      </w:r>
    </w:p>
    <w:p>
      <w:r>
        <w:rPr>
          <w:color w:val="555555"/>
          <w:sz w:val="17"/>
        </w:rPr>
        <w:t xml:space="preserve">Zitiervorschlag: § 23a EnSiG 1975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https://recht.nulegal.eu/gesetze/EnSiG%201975/23a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