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EnSiG 1975 — Entschädigung</w:t>
      </w:r>
    </w:p>
    <w:p>
      <w:r>
        <w:rPr>
          <w:color w:val="555555"/>
          <w:sz w:val="18"/>
        </w:rPr>
        <w:t xml:space="preserve">Energiesicherungsgesetz</w:t>
      </w:r>
    </w:p>
    <w:p>
      <w:r>
        <w:rPr>
          <w:color w:val="555555"/>
          <w:sz w:val="18"/>
        </w:rPr>
        <w:t xml:space="preserve">Stand: 23.12.2025 (konsolidierte Textfassung, kein amtliches Inkrafttretensdatum)</w:t>
      </w:r>
    </w:p>
    <w:p>
      <w:r>
        <w:t xml:space="preserve">(1) Für die Enteignung ist eine Entschädigung zu leisten. Eine Entschädigung kann verlangen, wer sich auf das Grundrecht aus Artikel 14 Absatz 1 Satz 1 des Grundgesetzes berufen kann, in seinem Recht durch die Enteignung beeinträchtigt wird und dadurch einen Vermögensnachteil erleidet. Verpflichtungen des Bundes aus völkerrechtlichen Verträgen nach Artikel 59 Absatz 1 Satz 2 des Grundgesetzes bleiben unberührt.</w:t>
      </w:r>
    </w:p>
    <w:p>
      <w:r>
        <w:t xml:space="preserve">(2) Zur Leistung der Entschädigung ist der Enteignungsbegünstigte verpflichtet, wenn eine vorherige Zustimmung des Enteignungsbegünstigten zu der Enteignung vorliegt. Im Übrigen ist der Bund zur Leistung der Entschädigung verpflichtet.</w:t>
      </w:r>
    </w:p>
    <w:p>
      <w:r>
        <w:t xml:space="preserve">(3) Die Entschädigung bemisst sich nach dem Verkehrswert des Enteignungsgegenstandes. Werden Anteile an Unternehmen oder sonstige Bestandteile der Eigenmittel von Unternehmen nach § 18 Absatz 2 Satz 1 enteignet, so erfolgt die Ermittlung des Verkehrswertes auf der Grundlage einer Bewertung des Unternehmens. Die Verwaltungsorgane des betroffenen Unternehmens sind verpflichtet, der Enteignungsbehörde die für die Ermittlung des Unternehmenswertes notwendigen Unterlagen zur Verfügung zu stellen und Auskünfte zu erteilen.</w:t>
      </w:r>
    </w:p>
    <w:p>
      <w:r>
        <w:t xml:space="preserve">(4) Die Entschädigung ist durch Zahlung eines Geldbetrages zu leisten. Die Entschädigungszahlung ist mit Ablauf des Tages, in den der Übergangszeitpunkt fällt, fällig. Die Höhe der Entschädigung wird in der Rechtsverordnung nach § 19 Absatz 1 oder durch das Bundesministerium für Wirtschaft und Energie im Einvernehmen mit dem Bundesministerium der Finanzen gesondert bekannt gemacht.</w:t>
      </w:r>
    </w:p>
    <w:p>
      <w:r>
        <w:t xml:space="preserve">(5) Entschädigungsbeträge sind mit einem Prozentpunkt über dem Basiszinssatz nach § 247 des Bürgerlichen Gesetzbuchs jährlich von dem Übergangszeitpunkt an zu verzinsen.</w:t>
      </w:r>
    </w:p>
    <w:p>
      <w:r>
        <w:rPr>
          <w:color w:val="555555"/>
          <w:sz w:val="17"/>
        </w:rPr>
        <w:t xml:space="preserve">Zitiervorschlag: § 21 EnSiG 1975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https://recht.nulegal.eu/gesetze/EnSiG%201975/21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