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EnSiG 1975 — Internationale Verpflichtungen</w:t>
      </w:r>
    </w:p>
    <w:p>
      <w:r>
        <w:rPr>
          <w:color w:val="555555"/>
          <w:sz w:val="18"/>
        </w:rPr>
        <w:t xml:space="preserve">Energiesicherungsgesetz</w:t>
      </w:r>
    </w:p>
    <w:p>
      <w:r>
        <w:rPr>
          <w:color w:val="555555"/>
          <w:sz w:val="18"/>
        </w:rPr>
        <w:t xml:space="preserve">Stand: 10.06.2019 (konsolidierte Textfassung, kein amtliches Inkrafttretensdatum)</w:t>
      </w:r>
    </w:p>
    <w:p>
      <w:r>
        <w:t xml:space="preserve">(1) Soweit es zur Erfüllung der Verpflichtungen aus dem Übereinkommen vom 18. November 1974 über ein Internationales Energieprogramm erforderlich ist, können für Erdöl und Erdölerzeugnisse durch Rechtsverordnung Vorschriften über die Beschränkung der Einfuhren, die Verpflichtung zu Ausfuhren und die Abgabe sowie Vorschriften des im § 1 Abs. 3 genannten Inhalts erlassen werden. Rechtsverordnungen nach Satz 1 können erst erlassen werden, wenn das Bundesgesetz in Kraft getreten ist, durch welches die gesetzgebenden Körperschaften nach Artikel 59 Abs. 2 Satz 1 des Grundgesetzes dem genannten Übereinkommen ihre Zustimmung erteilt haben, und wenn die Erfüllung der Verpflichtungen durch marktgerechte Maßnahmen nicht, nicht rechtzeitig oder nur mit unverhältnismäßigen Mitteln zu erreichen ist. § 1 Abs. 4 Satz 2 gilt entsprechend.</w:t>
      </w:r>
    </w:p>
    <w:p>
      <w:r>
        <w:t xml:space="preserve">(2) Rechtsverordnungen, nach denen Einfuhren von Erdöl und Erdölerzeugnissen aus Mitgliedstaaten der Europäischen Gemeinschaften beschränkt werden können oder zu Ausfuhren und Abgabe in diese Staaten verpflichtet werden kann, können nur erlassen werden, wenn die Bundesrepublik Deutschland hierzu gemeinschaftsrechtlich ermächtigt ist.</w:t>
      </w:r>
    </w:p>
    <w:p>
      <w:r>
        <w:t xml:space="preserve">(3) Rechtsverordnungen nach § 1 können auch erlassen werden, wenn die Energieversorgung durch die Beschränkung der Einfuhren oder die Verpflichtung zu Ausfuhren von Erdöl und Erdölerzeugnissen gefährdet oder gestört wird.</w:t>
      </w:r>
    </w:p>
    <w:p>
      <w:r>
        <w:rPr>
          <w:color w:val="555555"/>
          <w:sz w:val="17"/>
        </w:rPr>
        <w:t xml:space="preserve">Zitiervorschlag: § 2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