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EnSiG 1975 — Enteignungsakt; Verordnungsermächtigung</w:t>
      </w:r>
    </w:p>
    <w:p>
      <w:r>
        <w:rPr>
          <w:color w:val="555555"/>
          <w:sz w:val="18"/>
        </w:rPr>
        <w:t xml:space="preserve">Energiesicherungsgesetz</w:t>
      </w:r>
    </w:p>
    <w:p>
      <w:r>
        <w:rPr>
          <w:color w:val="555555"/>
          <w:sz w:val="18"/>
        </w:rPr>
        <w:t xml:space="preserve">Stand: 23.12.2025 (konsolidierte Textfassung, kein amtliches Inkrafttretensdatum)</w:t>
      </w:r>
    </w:p>
    <w:p>
      <w:r>
        <w:t xml:space="preserve">(1) Die Enteignung erfolgt durch Rechtsverordnung des Bundesministeriums für Wirtschaft und Energie im Einvernehmen mit dem Bundesministerium der Finanzen ohne Zustimmung des Bundesrates. Die Rechtsverordnung muss die folgenden Angaben enthalten:</w:t>
      </w:r>
    </w:p>
    <w:p>
      <w:pPr>
        <w:ind w:left="420"/>
      </w:pPr>
      <w:r>
        <w:t xml:space="preserve">1. die Bezeichnung des Enteignungsgegenstandes,</w:t>
      </w:r>
    </w:p>
    <w:p>
      <w:pPr>
        <w:ind w:left="420"/>
      </w:pPr>
      <w:r>
        <w:t xml:space="preserve">2. die Angabe des Enteignungsbegünstigten,</w:t>
      </w:r>
    </w:p>
    <w:p>
      <w:pPr>
        <w:ind w:left="420"/>
      </w:pPr>
      <w:r>
        <w:t xml:space="preserve">3. die Angabe, zu welchem Zeitpunkt der Enteignungsgegenstand auf den Enteignungsbegünstigten übergeht (Übergangszeitpunkt),</w:t>
      </w:r>
    </w:p>
    <w:p>
      <w:pPr>
        <w:ind w:left="420"/>
      </w:pPr>
      <w:r>
        <w:t xml:space="preserve">4. die Angabe, wo die Begründung zur Rechtsverordnung veröffentlicht wird und elektronisch abrufbar ist,</w:t>
      </w:r>
    </w:p>
    <w:p>
      <w:pPr>
        <w:ind w:left="420"/>
      </w:pPr>
      <w:r>
        <w:t xml:space="preserve">5. Angaben zur Höhe der Entschädigung, falls diese zum Zeitpunkt des Erlasses der Rechtsverordnung bereits feststeht.</w:t>
      </w:r>
    </w:p>
    <w:p>
      <w:r>
        <w:t xml:space="preserve">Die Begründung zur Rechtsverordnung ist im Bundesanzeiger zu veröffentlichen.</w:t>
      </w:r>
    </w:p>
    <w:p>
      <w:r>
        <w:t xml:space="preserve">(2) Zum Übergangszeitpunkt geht der Enteignungsgegenstand einschließlich aller damit zusammenhängenden Rechte auf den Enteignungsbegünstigten über. Sind über enteignete Anteile an Unternehmen nach § 18 Absatz 2 Satz 1 Nummer 1 und 3 oder sonstige Rechte im Sinne des § 18 Absatz 2 Satz 1 Nummer 2 Urkunden ausgegeben, so verbriefen sie ab dem Übergangszeitpunkt bis zur Aushändigung an den Enteignungsbegünstigten nur den Anspruch auf die Enteignungsentschädigung nach § 21. Der Übergangszeitpunkt ist von Amts wegen unverzüglich in das Handelsregister einzutragen.</w:t>
      </w:r>
    </w:p>
    <w:p>
      <w:r>
        <w:rPr>
          <w:color w:val="555555"/>
          <w:sz w:val="17"/>
        </w:rPr>
        <w:t xml:space="preserve">Zitiervorschlag: § 19 EnSiG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https://recht.nulegal.eu/gesetze/EnSiG%201975/19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