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EnSiG 1975 — Bekanntgabe und Zustellung</w:t>
      </w:r>
    </w:p>
    <w:p>
      <w:r>
        <w:rPr>
          <w:color w:val="555555"/>
          <w:sz w:val="18"/>
        </w:rPr>
        <w:t xml:space="preserve">Energiesicherungsgesetz</w:t>
      </w:r>
    </w:p>
    <w:p>
      <w:r>
        <w:rPr>
          <w:color w:val="555555"/>
          <w:sz w:val="18"/>
        </w:rPr>
        <w:t xml:space="preserve">Stand: 24.05.2022 (konsolidierte Textfassung, kein amtliches Inkrafttretensdatum)</w:t>
      </w:r>
    </w:p>
    <w:p>
      <w:r>
        <w:t xml:space="preserve">(1) Mit der Feststellung nach § 3 Absatz 3 Satz 2 oder der Mitteilung gemäß § 3 Absatz 6 Satz 1 gelten für den Vollzug dieses Gesetzes und der nach diesem Gesetz erlassenen Rechtsverordnungen für den Erlass und die Bekanntgabe eines Verwaltungsaktes die Vorschriften des Verwaltungsverfahrensgesetzes mit der Maßgabe, dass</w:t>
      </w:r>
    </w:p>
    <w:p>
      <w:pPr>
        <w:ind w:left="420"/>
      </w:pPr>
      <w:r>
        <w:t xml:space="preserve">1. im Fall der elektronischen Übermittlung an einen vom Empfänger eröffneten Zugang ein Verwaltungsakt mit der Versendung als bekannt gegeben gilt;</w:t>
      </w:r>
    </w:p>
    <w:p>
      <w:pPr>
        <w:ind w:left="420"/>
      </w:pPr>
      <w:r>
        <w:t xml:space="preserve">2. eine öffentliche Bekanntgabe zulässig ist; sie kann im Wege der öffentlichen Bekanntmachung durch Presse, Rundfunk, insbesondere Hörfunk und Fernsehen, digitale Medien oder in einer sonstigen ortsüblichen und geeigneten Weise erfolgen; in diesem Fall gilt der Verwaltungsakt mit der Bekanntmachung unmittelbar als bekannt gegeben;</w:t>
      </w:r>
    </w:p>
    <w:p>
      <w:pPr>
        <w:ind w:left="420"/>
      </w:pPr>
      <w:r>
        <w:t xml:space="preserve">3. ein Anspruch auf schriftliche oder elektronische Bestätigung eines mündlichen Verwaltungsaktes nicht besteht.</w:t>
      </w:r>
    </w:p>
    <w:p>
      <w:r>
        <w:t xml:space="preserve">(2) Mit der Feststellung nach § 3 Absatz 3 Satz 2 oder der Mitteilung nach § 3 Absatz 6 Satz 1 gelten für den Vollzug dieses Gesetzes und der nach diesem Gesetz erlassenen Rechtsverordnungen für die Zustellung eines Verwaltungsaktes die Vorschriften des Verwaltungszustellungsgesetzes mit der Maßgabe, dass</w:t>
      </w:r>
    </w:p>
    <w:p>
      <w:pPr>
        <w:ind w:left="420"/>
      </w:pPr>
      <w:r>
        <w:t xml:space="preserve">1. § 5 Absatz 4 des Verwaltungszustellungsgesetzes für sämtliche Zustellungen mit der Maßgabe gilt, dass der Verwaltungsakt an jeden Empfänger außer an Verbraucher im Sinne von § 13 des Bürgerlichen Gesetzbuchs zugestellt werden kann;</w:t>
      </w:r>
    </w:p>
    <w:p>
      <w:pPr>
        <w:ind w:left="420"/>
      </w:pPr>
      <w:r>
        <w:t xml:space="preserve">2. im Fall der elektronischen Zustellung nach § 5 Absatz 5 des Verwaltungszustellungsgesetzes der Verwaltungsakt mit dem auf die Absendung folgenden Tag als zugestellt gilt.</w:t>
      </w:r>
    </w:p>
    <w:p>
      <w:r>
        <w:rPr>
          <w:color w:val="555555"/>
          <w:sz w:val="17"/>
        </w:rPr>
        <w:t xml:space="preserve">Zitiervorschlag: § 14 EnSiG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https://recht.nulegal.eu/gesetze/EnSiG%201975/14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