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EnSiG 1975 — Sicherung der Energieversorgung; Verordnungsermächtigung</w:t>
      </w:r>
    </w:p>
    <w:p>
      <w:r>
        <w:rPr>
          <w:color w:val="555555"/>
          <w:sz w:val="18"/>
        </w:rPr>
        <w:t xml:space="preserve">Energiesicherungsgesetz</w:t>
      </w:r>
    </w:p>
    <w:p>
      <w:r>
        <w:rPr>
          <w:color w:val="555555"/>
          <w:sz w:val="18"/>
        </w:rPr>
        <w:t xml:space="preserve">Stand: 29.09.2023 (konsolidierte Textfassung, kein amtliches Inkrafttretensdatum)</w:t>
      </w:r>
    </w:p>
    <w:p>
      <w:r>
        <w:t xml:space="preserve">(1) Um die Deckung des lebenswichtigen Bedarfs an Energie für den Fall zu sichern, daß die Energieversorgung unmittelbar gefährdet oder gestört und die Gefährdung oder Störung der Energieversorgung durch marktgerechte Maßnahmen nicht, nicht rechtzeitig oder nur mit unverhältnismäßigen Mitteln zu beheben ist, können durch Rechtsverordnung Vorschriften erlassen werden über</w:t>
      </w:r>
    </w:p>
    <w:p>
      <w:pPr>
        <w:ind w:left="420"/>
      </w:pPr>
      <w:r>
        <w:t xml:space="preserve">1. die Produktion, den Transport, die Lagerung, die Bevorratung, die Verteilung, die Abgabe, den Bezug, die Verwendung, die Einsparung, die Reduzierung des Verbrauchs sowie Höchstpreise von Erdöl und Erdölerzeugnissen, von sonstigen festen, flüssigen und gasförmigen Energieträgern, von elektrischer Energie und sonstigen Energien (Gütern),</w:t>
      </w:r>
    </w:p>
    <w:p>
      <w:pPr>
        <w:ind w:left="420"/>
      </w:pPr>
      <w:r>
        <w:t xml:space="preserve">2. Buchführungs-, Nachweis- und Meldepflichten über die in Nummer 1 genannten wirtschaftlichen Vorgänge, über Mengen und Preise sowie über sonstige Marktverhältnisse bei diesen Gütern,</w:t>
      </w:r>
    </w:p>
    <w:p>
      <w:pPr>
        <w:ind w:left="420"/>
      </w:pPr>
      <w:r>
        <w:t xml:space="preserve">3. die Herstellung, die Instandhaltung, die Abgabe, die Verbringung und die Verwendung von Produktionsmitteln der gewerblichen Wirtschaft, soweit diese Produktionsmittel der Versorgung mit elektrischer Energie und Erdgas dienen, sowie über Werkleistungen von Unternehmen der gewerblichen Wirtschaft zur Instandhaltung, Instandsetzung, Herstellung und Veränderung von Bauwerken und technischen Anlagen, die der Versorgung mit elektrischer Energie und Erdgas dienen,</w:t>
      </w:r>
    </w:p>
    <w:p>
      <w:pPr>
        <w:ind w:left="420"/>
      </w:pPr>
      <w:r>
        <w:t xml:space="preserve">4. die Errichtung, den Einsatz und den Betrieb digitaler Plattformen durch die Verwaltungsbehörde oder durch Dritte für die Vorbereitung und Umsetzung von Maßnahmen nach den Nummern 1 bis 3; soweit Dritte aufgrund ihrer Funktion zur Errichtung, zum Einsatz oder zum Betrieb einer digitalen Plattform verpflichtet werden, sind insbesondere Regelungen zu den Rechten und Pflichten des Betreibers, zu den Registrierungs- und Mitwirkungspflichten von Teilnehmern der Plattform sowie zur Ausgestaltung der Kosten und Entgelte des Betriebs und der Teilnahme vorzusehen,</w:t>
      </w:r>
    </w:p>
    <w:p>
      <w:pPr>
        <w:ind w:left="420"/>
      </w:pPr>
      <w:r>
        <w:t xml:space="preserve">5. befristete Abweichungen oder Ausnahmen für den Betrieb von Anlagen, soweit diese zwingend erforderlich sind, um die Deckung des lebenswichtigen Bedarfs an Energie zu sichern, oder für den Betrieb sonstiger Anlagen, insbesondere, um diesen zu ermöglichen, den Einsatzbrennstoff zu wechseln, damit dieser für die Sicherstellung der Energieversorgung zur Verfügung gestellt werden kann, von</w:t>
      </w:r>
    </w:p>
    <w:p>
      <w:pPr>
        <w:ind w:left="780"/>
      </w:pPr>
      <w:r>
        <w:t xml:space="preserve">a) den §§ 5 und 22 des Bundes-Immissionsschutzgesetzes in der Fassung der Bekanntmachung vom 17. Mai 2013 (BGBl. I S. 1274; 2021 I S. 123), das zuletzt durch Artikel 1 des Gesetzes vom 24. September 2021 (BGBl. I S. 4458) geändert worden ist, in der jeweils geltenden Fassung, in Verbindung mit</w:t>
      </w:r>
    </w:p>
    <w:p>
      <w:pPr>
        <w:ind w:left="780"/>
      </w:pPr>
      <w:r>
        <w:t xml:space="preserve">b) den auf das Bundes-Immissionsschutzgesetz gestützten folgenden Vorschriften:</w:t>
      </w:r>
    </w:p>
    <w:p>
      <w:pPr>
        <w:ind w:left="1140"/>
      </w:pPr>
      <w:r>
        <w:t xml:space="preserve">aa) Verordnung über Großfeuerungs-, Gasturbinen- und Verbrennungsmotoranlagen vom 6. Juli 2021 (BGBl. I S. 2514) in der jeweils geltenden Fassung,</w:t>
      </w:r>
    </w:p>
    <w:p>
      <w:pPr>
        <w:ind w:left="1140"/>
      </w:pPr>
      <w:r>
        <w:t xml:space="preserve">bb) Verordnung über die Verbrennung und die Mitverbrennung von Abfällen vom 2. Mai 2013 (BGBl. I S. 1021, 1044, 3754), die durch Artikel 2 der Verordnung vom 6. Juli 2021 (BGBl. I S. 2514) geändert worden ist, in der jeweils geltenden Fassung,</w:t>
      </w:r>
    </w:p>
    <w:p>
      <w:pPr>
        <w:ind w:left="1140"/>
      </w:pPr>
      <w:r>
        <w:t xml:space="preserve">cc) Verordnung über mittelgroße Feuerungs-, Gasturbinen- und Verbrennungsmotoranlagen vom 13. Juni 2019 (BGBl. I S. 804), die durch Artikel 3 Absatz 1 der Verordnung vom 6. Juli 2021 (BGBl. I S. 2514) geändert worden ist, in der jeweils geltenden Fassung,</w:t>
      </w:r>
    </w:p>
    <w:p>
      <w:pPr>
        <w:ind w:left="1140"/>
      </w:pPr>
      <w:r>
        <w:t xml:space="preserve">dd) Technische Anleitung zum Schutz gegen Lärm vom 26. August 1998 (GMBl S. 503) in der jeweils geltenden Fassung,</w:t>
      </w:r>
    </w:p>
    <w:p>
      <w:pPr>
        <w:ind w:left="1140"/>
      </w:pPr>
      <w:r>
        <w:t xml:space="preserve">ee) Technische Anleitung zur Reinhaltung der Luft vom 18. August 2021 (GMBl S. 1050) in der jeweils geltenden Fassung, sowie</w:t>
      </w:r>
    </w:p>
    <w:p>
      <w:pPr>
        <w:ind w:left="780"/>
      </w:pPr>
      <w:r>
        <w:t xml:space="preserve">c) den Regelungen des Abschnitts 3 des Kapitels 5 des Bundesnaturschutzgesetzes vom 29. Juli 2009 (BGBl. I S. 2542), das zuletzt durch Artikel 1 des Gesetzes vom 18. August 2021 (BGBl. I S. 3908) geändert worden ist, in der jeweils geltenden Fassung, die den Betrieb von Windenergieanlagen betreffen,</w:t>
      </w:r>
    </w:p>
    <w:p>
      <w:pPr>
        <w:ind w:left="780"/>
      </w:pPr>
      <w:r>
        <w:t xml:space="preserve">d) folgenden Verordnungen:</w:t>
      </w:r>
    </w:p>
    <w:p>
      <w:pPr>
        <w:ind w:left="1140"/>
      </w:pPr>
      <w:r>
        <w:t xml:space="preserve">aa) der Verordnung über Anlagen zum Umgang mit wassergefährdenden Stoffen vom 18. April 2017 (BGBl. I S. 905), die durch Artikel 256 der Verordnung vom 19. Juni 2020 (BGBl. I S. 1328) geändert worden ist, in der jeweils geltenden Fassung, sowie den darauf gestützten Technischen Regeln für wassergefährdende Stoffe,</w:t>
      </w:r>
    </w:p>
    <w:p>
      <w:pPr>
        <w:ind w:left="1140"/>
      </w:pPr>
      <w:r>
        <w:t xml:space="preserve">bb) der Rohrfernleitungsverordnung vom 27. September 2002 (BGBl. I S. 3777, 3809), die zuletzt durch Artikel 224 der Verordnung vom 19. Juni 2020 (BGBl. I S. 1328) geändert worden ist, in der jeweils geltenden Fassung, und</w:t>
      </w:r>
    </w:p>
    <w:p>
      <w:pPr>
        <w:ind w:left="420"/>
      </w:pPr>
      <w:r>
        <w:t xml:space="preserve">6. befristete Abweichungen oder Ausnahmen für die Errichtung, den Betrieb und die Änderung von Anlagen, soweit diese Abweichungen oder Ausnahmen zwingend erforderlich sind, um die Deckung des lebenswichtigen Bedarfs an Energie zu sichern, oder von sonstigen Anlagen, insbesondere, um diesen zu ermöglichen, den Einsatzbrennstoff zu wechseln, damit dieser für die Sicherstellung der Energieversorgung zur Verfügung gestellt werden kann, nach Abschnitt 3 der Betriebssicherheitsverordnung vom 3. Februar 2015 (BGBl. I S. 49), die zuletzt durch Artikel 7 des Gesetzes vom 27. Juli 2021 (BGBl. I S. 3146) geändert worden ist, in der jeweils geltenden Fassung.</w:t>
      </w:r>
    </w:p>
    <w:p>
      <w:r>
        <w:t xml:space="preserve">Als lebenswichtig gilt auch der Bedarf zur Erfüllung öffentlicher Aufgaben sowie europäischer und internationaler Verpflichtungen.</w:t>
      </w:r>
    </w:p>
    <w:p>
      <w:r>
        <w:t xml:space="preserve">(2) Absatz 1 ist auch anzuwenden, soweit die Güter für nichtenergetische Zwecke bestimmt sind.</w:t>
      </w:r>
    </w:p>
    <w:p>
      <w:r>
        <w:t xml:space="preserve">(3) In Rechtsverordnungen nach Absatz 1 kann insbesondere vorgesehen werden, daß die Abgabe, der Bezug oder die Verwendung der Güter zeitlich, örtlich oder mengenmäßig beschränkt oder nur für bestimmte vordringliche Versorgungszwecke vorgenommen werden darf; die Benutzung von Motorfahrzeugen aller Art kann nach Ort, Zeit, Strecke, Geschwindigkeit und Benutzerkreis sowie Erforderlichkeit der Benutzung eingeschränkt werden.</w:t>
      </w:r>
    </w:p>
    <w:p>
      <w:r>
        <w:t xml:space="preserve">(4) Die Rechtsverordnungen sind auf das Maß zu beschränken, das zur Behebung der Gefährdung oder Störung der Energieversorgung unbedingt erforderlich ist. Sie sind insbesondere so zu gestalten, daß in die Freiheit des einzelnen und der wirtschaftlichen Betätigung so wenig wie möglich eingegriffen und die Leistungsfähigkeit der Gesamtwirtschaft möglichst wenig beeinträchtigt wird.</w:t>
      </w:r>
    </w:p>
    <w:p>
      <w:r>
        <w:rPr>
          <w:color w:val="555555"/>
          <w:sz w:val="17"/>
        </w:rPr>
        <w:t xml:space="preserve">Zitiervorschlag: § 1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