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EnSTransV — Datenübermittlung im innerstaatlichen Bereich</w:t>
      </w:r>
    </w:p>
    <w:p>
      <w:r>
        <w:rPr>
          <w:color w:val="555555"/>
          <w:sz w:val="18"/>
        </w:rPr>
        <w:t xml:space="preserve">Energiesteuer- und Stromsteuer-Transparenzverordnung</w:t>
      </w:r>
    </w:p>
    <w:p>
      <w:r>
        <w:rPr>
          <w:color w:val="555555"/>
          <w:sz w:val="18"/>
        </w:rPr>
        <w:t xml:space="preserve">Stand: 14.12.2022 (konsolidierte Textfassung, kein amtliches Inkrafttretensdatum)</w:t>
      </w:r>
    </w:p>
    <w:p>
      <w:r>
        <w:t xml:space="preserve">(1) Zur Erfüllung der Pflichten nach § 1 Absatz 1 übermittelt die Zollverwaltung die nach den §§ 3 bis 5 erhobenen Daten an die innerstaatliche Stelle, der die Übermittlung der vorgenannten Daten an die Kommission obliegt. Diese Stelle ist die Generalzolldirektion.</w:t>
      </w:r>
    </w:p>
    <w:p>
      <w:r>
        <w:t xml:space="preserve">(2) Die Zollverwaltung kann dem Statistischen Bundesamt bereits aufbereitete und anonymisierte Daten zur Darstellung und Veröffentlichung für statistische Zwecke übermitteln, soweit dies nach dem Bundesstatistikgesetz zulässig ist.</w:t>
      </w:r>
    </w:p>
    <w:p>
      <w:r>
        <w:t xml:space="preserve">(3) Die Zollverwaltung darf bereits aufbereitete und anonymisierte Daten nur dann an andere als die in den Absätzen 1 und 2 genannten Stellen zu statistischen Zwecken übermitteln, soweit andere Gesetze dem nicht entgegenstehen.</w:t>
      </w:r>
    </w:p>
    <w:p>
      <w:r>
        <w:rPr>
          <w:color w:val="555555"/>
          <w:sz w:val="17"/>
        </w:rPr>
        <w:t xml:space="preserve">Zitiervorschlag: § 9 EnSTransV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https://recht.nulegal.eu/gesetze/EnSTransV/9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