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EnSTransV — Verarbeitung der erhobenen Daten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Erfüllung der Pflichten nach § 1 Absatz 1 kann die Zollverwaltung die nach den §§ 3 bis 5 erhobenen Daten verarbeiten.</w:t>
      </w:r>
    </w:p>
    <w:p>
      <w:r>
        <w:t xml:space="preserve">(2) Für andere als die in Absatz 1 genannten Zwecke darf die Zollverwaltung die Daten in anonymisierter Form verarbeiten, soweit andere Gesetze dem nicht entgegenstehen.</w:t>
      </w:r>
    </w:p>
    <w:p>
      <w:r>
        <w:rPr>
          <w:color w:val="555555"/>
          <w:sz w:val="17"/>
        </w:rPr>
        <w:t xml:space="preserve">Zitiervorschlag: § 8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