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EnSTransV — Elektronische Datenübermittlung, Ausnahme</w:t>
      </w:r>
    </w:p>
    <w:p>
      <w:r>
        <w:rPr>
          <w:color w:val="555555"/>
          <w:sz w:val="18"/>
        </w:rPr>
        <w:t xml:space="preserve">Energiesteuer- und Stromsteuer-Transparenzverordnung</w:t>
      </w:r>
    </w:p>
    <w:p>
      <w:r>
        <w:rPr>
          <w:color w:val="555555"/>
          <w:sz w:val="18"/>
        </w:rPr>
        <w:t xml:space="preserve">Stand: 10.07.2019 (konsolidierte Textfassung, kein amtliches Inkrafttretensdatum)</w:t>
      </w:r>
    </w:p>
    <w:p>
      <w:r>
        <w:t xml:space="preserve">(1) Anzeigen und Erklärungen nach den §§ 4 und 5 sind von Begünstigten nach amtlich vorgeschriebenem Datensatz durch Datenfernübertragung elektronisch an die zuständigen Behörden der Zollverwaltung zu übermitteln (elektronische Datenübermittlung).</w:t>
      </w:r>
    </w:p>
    <w:p>
      <w:r>
        <w:t xml:space="preserve">(2) Eine Befreiung von der Nutzung der elektronischen Datenübermittlung ist nur auf Antrag zulässig und möglich. Dieser ist beim zuständigen Hauptzollamt zu stellen und zu begründen. Soweit die Befreiung erteilt wurde, sind die Anzeigen oder die Erklärungen nach § 3 Absatz 2 nach amtlich vorgeschriebenem Vordruck in Schriftform abzugeben.</w:t>
      </w:r>
    </w:p>
    <w:p>
      <w:r>
        <w:t xml:space="preserve">(3) Das Bundesministerium der Finanzen bestimmt Art und Weise der elektronischen Datenübermittlung durch eine Verfahrensanweisung. Zur Teilnahme am Verfahren der elektronischen Datenübermittlung bedarf es der vorherigen Registrierung. Die Begünstigten sind verpflichtet, die in der Verfahrensanweisung festgelegten Voraussetzungen und Bedingungen einzuhalten. Die Verfahrensanweisung nach Satz 1 wird durch das Bundesministerium der Finanzen im Bundesanzeiger sowie im Internet auf den Seiten der Zollverwaltung unter www.zoll.de bekannt gegeben.</w:t>
      </w:r>
    </w:p>
    <w:p>
      <w:r>
        <w:t xml:space="preserve">(4) Bei der elektronischen Datenübermittlung sind dem jeweiligen Stand der Technik entsprechende Verfahren einzusetzen, die Authentizität, Vertraulichkeit und Integrität der Daten gewährleisten. Werden allgemein zugängliche Netze genutzt, sind Verschlüsselungsverfahren einzusetzen.</w:t>
      </w:r>
    </w:p>
    <w:p>
      <w:r>
        <w:rPr>
          <w:color w:val="555555"/>
          <w:sz w:val="17"/>
        </w:rPr>
        <w:t xml:space="preserve">Zitiervorschlag: § 7 EnSTransV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https://recht.nulegal.eu/gesetze/EnSTransV/7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