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EnSTransV — Erklärungspflicht für Steuerentlastungen</w:t>
      </w:r>
    </w:p>
    <w:p>
      <w:r>
        <w:rPr>
          <w:color w:val="555555"/>
          <w:sz w:val="18"/>
        </w:rPr>
        <w:t xml:space="preserve">Energiesteuer- und Stromsteuer-Transparenzverordnung</w:t>
      </w:r>
    </w:p>
    <w:p>
      <w:r>
        <w:rPr>
          <w:color w:val="555555"/>
          <w:sz w:val="18"/>
        </w:rPr>
        <w:t xml:space="preserve">Stand: 14.12.2022 (konsolidierte Textfassung, kein amtliches Inkrafttretensdatum)</w:t>
      </w:r>
    </w:p>
    <w:p>
      <w:r>
        <w:t xml:space="preserve">(1) In den Fällen des § 3 Absatz 2 Nummer 1 haben Begünstigte, denen eine Steuerentlastung ausgezahlt worden ist, für jeden Entlastungstatbestand des Energiesteuer- oder des Stromsteuergesetzes nach Maßgabe des § 3 Absatz 3 eine Erklärung abzugeben. Die Erklärung ist einmal jährlich abzugeben.</w:t>
      </w:r>
    </w:p>
    <w:p>
      <w:r>
        <w:t xml:space="preserve">(2) In der Erklärung sind für jeden Entlastungstatbestand die folgenden Angaben zu machen:</w:t>
      </w:r>
    </w:p>
    <w:p>
      <w:pPr>
        <w:ind w:left="420"/>
      </w:pPr>
      <w:r>
        <w:t xml:space="preserve">1. der Name des Begünstigten,</w:t>
      </w:r>
    </w:p>
    <w:p>
      <w:pPr>
        <w:ind w:left="420"/>
      </w:pPr>
      <w:r>
        <w:t xml:space="preserve">2. die Anschrift des Begünstigten,</w:t>
      </w:r>
    </w:p>
    <w:p>
      <w:pPr>
        <w:ind w:left="420"/>
      </w:pPr>
      <w:r>
        <w:t xml:space="preserve">3. der Identifikator des Begünstigten,</w:t>
      </w:r>
    </w:p>
    <w:p>
      <w:pPr>
        <w:ind w:left="420"/>
      </w:pPr>
      <w:r>
        <w:t xml:space="preserve">4. die Art und die Menge der im vorangegangenen Kalenderjahr entlasteten Energieerzeugnisse oder die Menge des im vorangegangenen Kalenderjahr entlasteten Stroms,</w:t>
      </w:r>
    </w:p>
    <w:p>
      <w:pPr>
        <w:ind w:left="420"/>
      </w:pPr>
      <w:r>
        <w:t xml:space="preserve">5. die Höhe der daraus resultierenden, im vorangegangenen Kalenderjahr ausgezahlten Steuerentlastung in Euro,</w:t>
      </w:r>
    </w:p>
    <w:p>
      <w:pPr>
        <w:ind w:left="420"/>
      </w:pPr>
      <w:r>
        <w:t xml:space="preserve">6. der Wirtschaftszweig des Begünstigten anhand der Klassifikation der Wirtschaftszweige nach § 2 Nummer 2a des Stromsteuergesetzes,</w:t>
      </w:r>
    </w:p>
    <w:p>
      <w:pPr>
        <w:ind w:left="420"/>
      </w:pPr>
      <w:r>
        <w:t xml:space="preserve">7. ob der Begünstigte zum Zeitpunkt der Gewährung der Steuerentlastung als Kleinstunternehmen, kleines oder mittleres Unternehmen im Sinne des § 2 Absatz 4 galt,</w:t>
      </w:r>
    </w:p>
    <w:p>
      <w:pPr>
        <w:ind w:left="420"/>
      </w:pPr>
      <w:r>
        <w:t xml:space="preserve">8. ob der Begünstigte in der Fischerei und Aquakultur im Sinne des § 2 Absatz 6 tätig ist und</w:t>
      </w:r>
    </w:p>
    <w:p>
      <w:pPr>
        <w:ind w:left="420"/>
      </w:pPr>
      <w:r>
        <w:t xml:space="preserve">9. ob der Begünstigte in der Primärerzeugung landwirtschaftlicher Erzeugnisse im Sinne des § 2 Absatz 7 tätig ist.</w:t>
      </w:r>
    </w:p>
    <w:p>
      <w:r>
        <w:t xml:space="preserve">(3) Das zuständige Hauptzollamt kann darüber hinaus weitere Angaben und Unterlagen verlangen, soweit diese zur Dokumentation der Veröffentlichungs-, Informations- und Transparenzpflichten gegenüber der Kommission oder zur Nachweisführung erforderlich sind.</w:t>
      </w:r>
    </w:p>
    <w:p>
      <w:r>
        <w:rPr>
          <w:color w:val="555555"/>
          <w:sz w:val="17"/>
        </w:rPr>
        <w:t xml:space="preserve">Zitiervorschlag: § 5 EnSTransV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https://recht.nulegal.eu/gesetze/EnSTransV/5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