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EnSTransV — Begriffsbestimmungen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Steuerbegünstigungen im Sinne dieser Verordnung sind</w:t>
      </w:r>
    </w:p>
    <w:p>
      <w:pPr>
        <w:ind w:left="420"/>
      </w:pPr>
      <w:r>
        <w:t xml:space="preserve">1. die Steuerbefreiungen,</w:t>
      </w:r>
    </w:p>
    <w:p>
      <w:pPr>
        <w:ind w:left="420"/>
      </w:pPr>
      <w:r>
        <w:t xml:space="preserve">2. die Steuerermäßigungen oder</w:t>
      </w:r>
    </w:p>
    <w:p>
      <w:pPr>
        <w:ind w:left="420"/>
      </w:pPr>
      <w:r>
        <w:t xml:space="preserve">3. die Steuerentlastungen,</w:t>
      </w:r>
    </w:p>
    <w:p>
      <w:r>
        <w:t xml:space="preserve">die aufgrund des Energiesteuer- oder des Stromsteuergesetzes gewährt werden und zugleich staatliche Beihilfen im Sinne des Artikels 107 des AEUV darstellen. Steuerbegünstigungen nach Satz 1 sind der Anlage zu dieser Verordnung zu entnehmen. Das Bundesministerium der Finanzen veröffentlicht bei Änderungen der Anlage eine Übersicht der betroffenen Vorschriften des Energiesteuer- und des Stromsteuerrechts jeweils gesondert im Bundesanzeiger und im Internet auf den Seiten der Zollverwaltung unter zoll.de.</w:t>
      </w:r>
    </w:p>
    <w:p>
      <w:r>
        <w:t xml:space="preserve">(2) Begünstigt im Sinne dieser Verordnung ist, wer eine Steuerbegünstigung im Sinne des Absatzes 1 in Anspruch nimmt.</w:t>
      </w:r>
    </w:p>
    <w:p>
      <w:r>
        <w:t xml:space="preserve">(3) Einzelbeihilfe im Sinne dieser Verordnung ist jede Regelung des Energiesteuer- oder des Stromsteuergesetzes, die</w:t>
      </w:r>
    </w:p>
    <w:p>
      <w:pPr>
        <w:ind w:left="420"/>
      </w:pPr>
      <w:r>
        <w:t xml:space="preserve">1. eine Steuerbegünstigung im Sinne des Absatzes 1 enthält und</w:t>
      </w:r>
    </w:p>
    <w:p>
      <w:pPr>
        <w:ind w:left="420"/>
      </w:pPr>
      <w:r>
        <w:t xml:space="preserve">2. in der Anlage zu dieser Verordnung aufgeführt ist.</w:t>
      </w:r>
    </w:p>
    <w:p>
      <w:r>
        <w:t xml:space="preserve">(4) Kleinstunternehmen sowie kleine und mittlere Unternehmen im Sinne dieser Verordnung sind Unternehmen im Sinne der Empfehlung 2003/361/EG der Kommission vom 6. Mai 2003 betreffend die Definition der Kleinstunternehmen sowie der kleinen und mittleren Unternehmen (ABl. L 124 vom 20.5.2003, S. 36), in der jeweils geltenden Fassung.</w:t>
      </w:r>
    </w:p>
    <w:p>
      <w:r>
        <w:t xml:space="preserve">(5) Zuständiges Hauptzollamt im Sinne dieser Verordnung ist das Hauptzollamt nach § 1a der Energiesteuer-Durchführungsverordnung und nach § 1 der Stromsteuer-Durchführungsverordnung.</w:t>
      </w:r>
    </w:p>
    <w:p>
      <w:r>
        <w:t xml:space="preserve">(6) Fischerei und Aquakultur ist die Erzeugung, Verarbeitung und Vermarktung von Erzeugnissen, die aufgeführt sind in Anhang I der Verordnung (EU) Nr. 1379/2013 des Europäischen Parlaments und des Rates vom 11. Dezember 2013 über die gemeinsame Marktorganisation für Erzeugnisse der Fischerei und der Aquakultur, zur Änderung der Verordnungen (EG) Nr. 1184/2006 und (EG) Nr. 1224/2009 des Rates und zur Aufhebung der Verordnung (EG) Nr. 104/2000 des Rates (ABl. L 354 vom 28.12.2013, S. 1), die zuletzt durch die Verordnung (EU) 2020/560 (ABl. L 130 vom 24.4.2020, S. 11) geändert worden ist, in der jeweils geltenden Fassung.</w:t>
      </w:r>
    </w:p>
    <w:p>
      <w:r>
        <w:t xml:space="preserve">(7) Primärerzeugung landwirtschaftlicher Erzeugnisse ist die Erzeugung von in Anhang I des AEUV aufgeführten Erzeugnissen des Bodens und der Viehzucht, ohne weitere Vorgänge, die die Beschaffenheit solcher Erzeugnisse verändern.</w:t>
      </w:r>
    </w:p>
    <w:p>
      <w:r>
        <w:rPr>
          <w:color w:val="555555"/>
          <w:sz w:val="17"/>
        </w:rPr>
        <w:t xml:space="preserve">Zitiervorschlag: § 2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