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EnSTransV — Geltungszeitraum</w:t>
      </w:r>
    </w:p>
    <w:p>
      <w:r>
        <w:rPr>
          <w:color w:val="555555"/>
          <w:sz w:val="18"/>
        </w:rPr>
        <w:t xml:space="preserve">Energiesteuer- und Stromsteuer-Transparenzverordnung</w:t>
      </w:r>
    </w:p>
    <w:p>
      <w:r>
        <w:rPr>
          <w:color w:val="555555"/>
          <w:sz w:val="18"/>
        </w:rPr>
        <w:t xml:space="preserve">Stand: 10.07.2019 (konsolidierte Textfassung, kein amtliches Inkrafttretensdatum)</w:t>
      </w:r>
    </w:p>
    <w:p>
      <w:r>
        <w:t xml:space="preserve">Die sich aus dieser Verordnung ergebenden Verpflichtungen gelten für Steuerbegünstigungen ab dem 1. Juli 2016.</w:t>
      </w:r>
    </w:p>
    <w:p>
      <w:r>
        <w:rPr>
          <w:color w:val="555555"/>
          <w:sz w:val="17"/>
        </w:rPr>
        <w:t xml:space="preserve">Zitiervorschlag: § 17 EnSTransV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https://recht.nulegal.eu/gesetze/EnSTransV/17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