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EnSTransV — Ordnungswidrigkeiten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Ordnungswidrig im Sinne des § 66c Absatz 1 des Energiesteuergesetzes handelt, wer vorsätzlich oder leichtfertig</w:t>
      </w:r>
    </w:p>
    <w:p>
      <w:pPr>
        <w:ind w:left="420"/>
      </w:pPr>
      <w:r>
        <w:t xml:space="preserve">1. entgegen § 3 Absatz 2 eine Erklärung oder eine Anzeige nicht, nicht richtig, nicht vollständig oder nicht rechtzeitig abgibt oder</w:t>
      </w:r>
    </w:p>
    <w:p>
      <w:pPr>
        <w:ind w:left="420"/>
      </w:pPr>
      <w:r>
        <w:t xml:space="preserve">2. einer vollziehbaren Anordnung nach § 4 Absatz 4 oder § 5 Absatz 3 zuwiderhandelt.</w:t>
      </w:r>
    </w:p>
    <w:p>
      <w:r>
        <w:t xml:space="preserve">(2) Ordnungswidrig im Sinne des § 14 Absatz 1 Nummer 2 des Stromsteuergesetzes handelt, wer vorsätzlich oder leichtfertig eine in Absatz 1 bezeichnete Handlung in Bezug auf eine Steuerbegünstigung nach dem Stromsteuergesetz begeht.</w:t>
      </w:r>
    </w:p>
    <w:p>
      <w:r>
        <w:rPr>
          <w:color w:val="555555"/>
          <w:sz w:val="17"/>
        </w:rPr>
        <w:t xml:space="preserve">Zitiervorschlag: § 15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