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EnSTransV — Elektronische Datenbank</w:t>
      </w:r>
    </w:p>
    <w:p>
      <w:r>
        <w:rPr>
          <w:color w:val="555555"/>
          <w:sz w:val="18"/>
        </w:rPr>
        <w:t xml:space="preserve">Energiesteuer- und Stromsteuer-Transparenzverordnung</w:t>
      </w:r>
    </w:p>
    <w:p>
      <w:r>
        <w:rPr>
          <w:color w:val="555555"/>
          <w:sz w:val="18"/>
        </w:rPr>
        <w:t xml:space="preserve">Stand: 10.07.2019 (konsolidierte Textfassung, kein amtliches Inkrafttretensdatum)</w:t>
      </w:r>
    </w:p>
    <w:p>
      <w:r>
        <w:t xml:space="preserve">(1) Für die Zwecke des § 1 Absatz 1 richtet die Generalzolldirektion eine Datenbank zur Erfassung der nach den §§ 3 bis 5 erhobenen Daten ein.</w:t>
      </w:r>
    </w:p>
    <w:p>
      <w:r>
        <w:t xml:space="preserve">(2) Diese Datenbank hat die unionsrechtlichen Vorgaben nach § 1 Absatz 1 zu erfüllen und dient der Erhebung und der Verarbeitung von Daten mit dem Ziel einer Übermittlung an die Kommission zur Veröffentlichung auf der allgemein zugänglichen Internetseite im Sinne des § 3 Absatz 4.</w:t>
      </w:r>
    </w:p>
    <w:p>
      <w:r>
        <w:t xml:space="preserve">(3) Die nach § 7 Absatz 2 in Schriftform erhobenen Daten werden durch die Hauptzollämter in die elektronische Datenbank eingegeben.</w:t>
      </w:r>
    </w:p>
    <w:p>
      <w:r>
        <w:t xml:space="preserve">(4) Die §§ 8 bis 11 gelten entsprechend.</w:t>
      </w:r>
    </w:p>
    <w:p>
      <w:r>
        <w:rPr>
          <w:color w:val="555555"/>
          <w:sz w:val="17"/>
        </w:rPr>
        <w:t xml:space="preserve">Zitiervorschlag: § 12 EnSTransV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https://recht.nulegal.eu/gesetze/EnSTransV/12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