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EnSTransV — Berichtigung, Speicherung und Löschung der erhobenen Daten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dieser Verordnung erhobene und gespeicherte Daten sind zu berichtigen, wenn sie unrichtig sind.</w:t>
      </w:r>
    </w:p>
    <w:p>
      <w:r>
        <w:t xml:space="preserve">(2) Zur Erfüllung der Pflichten nach § 1 Absatz 1 werden die nach den §§ 3 bis 5 erhobenen Daten für zehn Jahre ab dem Tag der Anzeige nach § 4 oder der Erklärung nach § 5 gespeichert.</w:t>
      </w:r>
    </w:p>
    <w:p>
      <w:r>
        <w:t xml:space="preserve">(3) Nach Ablauf der Frist nach Absatz 2 werden die Daten gelöscht. Die Löschung erfolgt frühestmöglich zum 30. Juni oder zum 31. Dezember. In anonymisierter und aufbereiteter Form können Daten zu statistischen Zwecken über den Zeitpunkt nach Satz 1 hinaus gespeichert werden.</w:t>
      </w:r>
    </w:p>
    <w:p>
      <w:r>
        <w:rPr>
          <w:color w:val="555555"/>
          <w:sz w:val="17"/>
        </w:rPr>
        <w:t xml:space="preserve">Zitiervorschlag: § 11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