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EnSTransV — Datenübermittlung an die Kommission</w:t>
      </w:r>
    </w:p>
    <w:p>
      <w:r>
        <w:rPr>
          <w:color w:val="555555"/>
          <w:sz w:val="18"/>
        </w:rPr>
        <w:t xml:space="preserve">Energiesteuer- und Stromsteuer-Transparenzverordnung</w:t>
      </w:r>
    </w:p>
    <w:p>
      <w:r>
        <w:rPr>
          <w:color w:val="555555"/>
          <w:sz w:val="18"/>
        </w:rPr>
        <w:t xml:space="preserve">Stand: 14.12.2022 (konsolidierte Textfassung, kein amtliches Inkrafttretensdatum)</w:t>
      </w:r>
    </w:p>
    <w:p>
      <w:r>
        <w:t xml:space="preserve">Zur Erfüllung der Pflichten nach § 1 Absatz 1 übermittelt die Generalzolldirektion die nach den §§ 3 bis 5 erhobenen Daten an die Kommission oder an eine nachgeordnete Behörde der Europäischen Union, die die Kommission zur Verarbeitung der Daten bestimmt hat.</w:t>
      </w:r>
    </w:p>
    <w:p>
      <w:r>
        <w:rPr>
          <w:color w:val="555555"/>
          <w:sz w:val="17"/>
        </w:rPr>
        <w:t xml:space="preserve">Zitiervorschlag: § 10 EnSTransV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https://recht.nulegal.eu/gesetze/EnSTransV/10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