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EnLAG</w:t>
      </w:r>
    </w:p>
    <w:p>
      <w:r>
        <w:rPr>
          <w:color w:val="555555"/>
          <w:sz w:val="18"/>
        </w:rPr>
        <w:t xml:space="preserve">Energieleitungsausbaugesetz</w:t>
      </w:r>
    </w:p>
    <w:p>
      <w:r>
        <w:rPr>
          <w:color w:val="555555"/>
          <w:sz w:val="18"/>
        </w:rPr>
        <w:t xml:space="preserve">Außer Kraft: § 3 ist seit 05.03.2021 nicht mehr im EnLAG enthalten. Angezeigt wird die letzte bekannte Fassung, Stand 01.07.2020.</w:t>
      </w:r>
    </w:p>
    <w:p>
      <w:r>
        <w:t xml:space="preserve">Das Bundesministerium für Wirtschaft und Energie prüft im Einvernehmen mit dem Bundesministerium für Umwelt, Naturschutz und nukleare Sicherheit sowie dem Bundesministerium für Verkehr und digitale Infrastruktur, ob der Bedarfsplan der Entwicklung der Elektrizitätsversorgung anzupassen ist, und legt dem Deutschen Bundestag hierüber in jedem geraden Kalenderjahr einen Bericht, erstmalig zum 1. Oktober 2016, vor. Dabei sind unter Berücksichtigung der Zielsetzungen nach § 1 des Energiewirtschaftsgesetzes auch notwendige Optimierungsmaßnahmen zu prüfen. In diesem Bericht sind auch die Erfahrungen mit dem Einsatz von Erdkabeln nach § 2 darzustellen.</w:t>
      </w:r>
    </w:p>
    <w:p>
      <w:r>
        <w:rPr>
          <w:color w:val="555555"/>
          <w:sz w:val="17"/>
        </w:rPr>
        <w:t xml:space="preserve">Zitiervorschlag: § 3 EnLAG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https://recht.nulegal.eu/gesetze/EnLAG/3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