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EnKoG (Brandenburg) — Übergangsregelungen</w:t>
      </w:r>
    </w:p>
    <w:p>
      <w:r>
        <w:rPr>
          <w:color w:val="555555"/>
          <w:sz w:val="18"/>
        </w:rPr>
        <w:t xml:space="preserve">Enquete-Gesetz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gilt für die Enquete-Kommissionen, die zum Zeitpunkt des Inkrafttretens dieses Gesetzes eingesetzt sind, mit der Maßgabe, dass</w:t>
      </w:r>
    </w:p>
    <w:p>
      <w:r>
        <w:t xml:space="preserve">die Entscheidungen über die Zusammensetzung der Enquete-Kommissionen unberührt bleiben,</w:t>
      </w:r>
    </w:p>
    <w:p>
      <w:r>
        <w:t xml:space="preserve">Beschlüsse des Präsidiums über die Ausstattung der Enquete-Kommissionen vom Präsidium geändert werden können,</w:t>
      </w:r>
    </w:p>
    <w:p>
      <w:r>
        <w:t xml:space="preserve">für Beschlüsse nach § 1 Absatz 4 Satz 2 bis 4 der Landtag zuständig ist und die Fraktionen und Gruppen die zusätzlichen Mittel rückwirkend zum 1. Januar 2018 erhalten können,</w:t>
      </w:r>
    </w:p>
    <w:p>
      <w:r>
        <w:t xml:space="preserve">im Falle des Ausscheidens eines Mitgliedes das neue Mitglied von der Fraktion oder Gruppe benannt wird, die das ausscheidende Mitglied benannt hat.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EnKoG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https://recht.nulegal.eu/gesetze/EnKoG/7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