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EnKoG (Brandenburg) — Abschlussbericht</w:t>
      </w:r>
    </w:p>
    <w:p>
      <w:r>
        <w:rPr>
          <w:color w:val="555555"/>
          <w:sz w:val="18"/>
        </w:rPr>
        <w:t xml:space="preserve">Enquete-Gesetz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Nach Abschluss ihrer Tätigkeit, spätestens jedoch drei Monate vor Ende der Wahlperiode des Landtages, erstattet die Enquete-Kommission dem Landtag einen schriftlichen Abschlussbericht. Jedes Mitglied der Enquete-Kommission ist berechtigt, seine abweichende Meinung darzulegen; diese Darlegungen sind dem Bericht beizufügen.</w:t>
      </w:r>
    </w:p>
    <w:p>
      <w:r>
        <w:t xml:space="preserve">(2) Der Landtag kann im Einsetzungsbeschluss festlegen, dass die Enquete-Kommission dem Landtag einen Zwischenbericht vorlegt. Er kann jederzeit einen Bericht über den Stand des Verfahrens verlangen.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EnKoG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https://recht.nulegal.eu/gesetze/EnKoG/5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