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EnKoG (Brandenburg) — Geltung der Geschäftsordnung des Landtages, Berichterstattungsgruppen</w:t>
      </w:r>
    </w:p>
    <w:p>
      <w:r>
        <w:rPr>
          <w:color w:val="555555"/>
          <w:sz w:val="18"/>
        </w:rPr>
        <w:t xml:space="preserve">Enquete-Gesetz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Soweit dieses Gesetz keine Bestimmungen enthält, gelten die Regelungen der Geschäftsordnung des Landtages über die Ausschüsse einschließlich der Regelungen über die Verschwiegenheitspflichten der Ausschussmitglieder entsprechend.</w:t>
      </w:r>
    </w:p>
    <w:p>
      <w:r>
        <w:t xml:space="preserve">(2) Die Enquete-Kommission kann mit Zustimmung des Präsidiums zur Vorbereitung ihrer Beschlüsse Berichterstattungsgruppen einsetzen. Für die Berichterstattungsgruppen gilt Absatz 1 mit der Maßgabe, dass</w:t>
      </w:r>
    </w:p>
    <w:p>
      <w:r>
        <w:t xml:space="preserve">die Enquete-Kommission die Mitglieder der Berichterstattungsgruppen aus ihrer Mitte bestimmt und stellvertretende Mitglieder und Vorsitzende nicht bestimmt werden,</w:t>
      </w:r>
    </w:p>
    <w:p>
      <w:r>
        <w:t xml:space="preserve">Sitzungen aufgrund einvernehmlicher Vereinbarung der Mitglieder ohne förmliche Einladung unabhängig vom Sitzungsplan stattfinden,</w:t>
      </w:r>
    </w:p>
    <w:p>
      <w:r>
        <w:t xml:space="preserve">über die Sitzungen ein Ergebnisprotokoll angefertigt wird, das den Mitgliedern der Enquete-Kommission zur Verfügung gestellt wird,</w:t>
      </w:r>
    </w:p>
    <w:p>
      <w:r>
        <w:t xml:space="preserve">die Öffentlichkeitsarbeit durch die Enquete-Kommission wahrgenommen wird.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EnKoG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https://recht.nulegal.eu/gesetze/EnKoG/3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