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 EnFG — Verordnungsermächtigung zur Besonderen Ausgleichsregelung</w:t>
      </w:r>
    </w:p>
    <w:p>
      <w:r>
        <w:rPr>
          <w:color w:val="555555"/>
          <w:sz w:val="18"/>
        </w:rPr>
        <w:t xml:space="preserve">Energiefinanzierungsgesetz</w:t>
      </w:r>
    </w:p>
    <w:p>
      <w:r>
        <w:rPr>
          <w:color w:val="555555"/>
          <w:sz w:val="18"/>
        </w:rPr>
        <w:t xml:space="preserve">Stand: 23.12.2025 (konsolidierte Textfassung, kein amtliches Inkrafttretensdatum)</w:t>
      </w:r>
    </w:p>
    <w:p>
      <w:r>
        <w:t xml:space="preserve">Das Bundesministerium für Wirtschaft und Energie wird ermächtigt, durch Rechtsverordnung ohne Zustimmung des Bundesrates Branchen in die Anlage 2 aufzunehmen oder aus dieser herauszunehmen, sobald und soweit dies für die Angleichung an Beschlüsse der Europäischen Kommission erforderlich ist.</w:t>
      </w:r>
    </w:p>
    <w:p>
      <w:r>
        <w:rPr>
          <w:color w:val="555555"/>
          <w:sz w:val="17"/>
        </w:rPr>
        <w:t xml:space="preserve">Zitiervorschlag: § 65 EnFG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https://recht.nulegal.eu/gesetze/EnFG/65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