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EnFG — Bußgeldvorschriften</w:t>
      </w:r>
    </w:p>
    <w:p>
      <w:r>
        <w:rPr>
          <w:color w:val="555555"/>
          <w:sz w:val="18"/>
        </w:rPr>
        <w:t xml:space="preserve">Energiefinanzierungsgesetz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einer vollziehbaren Anordnung nach § 44 Absatz 2 Satz 2 Nummer 1 bis 3 zuwiderhandelt oder</w:t>
      </w:r>
    </w:p>
    <w:p>
      <w:pPr>
        <w:ind w:left="420"/>
      </w:pPr>
      <w:r>
        <w:t xml:space="preserve">2. einer vollziehbaren Anordnung nach § 62 Absatz 3 Satz 1, auch in Verbindung mit Satz 2, jeweils in Verbindung mit § 65 Absatz 1 Satz 1 oder 2 oder Absatz 2 oder § 69 Absatz 7 Satz 1 oder Absatz 8 Satz 1 des Energiewirtschaftsgesetzes zuwiderhandelt.</w:t>
      </w:r>
    </w:p>
    <w:p>
      <w:r>
        <w:t xml:space="preserve">(2) Die Ordnungswidrigkeit kann mit einer Geldbuße bis zu zweihunderttausend Euro geahndet werden.</w:t>
      </w:r>
    </w:p>
    <w:p>
      <w:r>
        <w:t xml:space="preserve">(3) Verwaltungsbehörde im Sinn des § 36 Absatz 1 Nummer 1 des Gesetzes über Ordnungswidrigkeiten ist</w:t>
      </w:r>
    </w:p>
    <w:p>
      <w:pPr>
        <w:ind w:left="420"/>
      </w:pPr>
      <w:r>
        <w:t xml:space="preserve">1. das Bundesamt für Wirtschaft und Ausfuhrkontrolle in den Fällen des Absatzes 1 Nummer 1 und</w:t>
      </w:r>
    </w:p>
    <w:p>
      <w:pPr>
        <w:ind w:left="420"/>
      </w:pPr>
      <w:r>
        <w:t xml:space="preserve">2. die Bundesnetzagentur in den Fällen des Absatzes 1 Nummer 2.</w:t>
      </w:r>
    </w:p>
    <w:p>
      <w:r>
        <w:rPr>
          <w:color w:val="555555"/>
          <w:sz w:val="17"/>
        </w:rPr>
        <w:t xml:space="preserve">Zitiervorschlag: § 63 EnFG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https://recht.nulegal.eu/gesetze/EnFG/63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