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EnFG — Benachrichtigung und Beteiligung der Bundesnetzagentur bei bürgerlichen Rechtsstreitigkeiten</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Der Bundesgerichtshof muss die Bundesnetzagentur über alle bürgerlichen Rechtsstreitigkeiten, die sich aus diesem Gesetz ergeben, unterrichten. Er muss der Bundesnetzagentur auf Verlangen Abschriften von allen Schriftsätzen, Protokollen, Verfügungen und Entscheidungen übersenden.</w:t>
      </w:r>
    </w:p>
    <w:p>
      <w:r>
        <w:t xml:space="preserve">(2) Der Präsident oder die Präsidentin der Bundesnetzagentur kann, wenn er oder sie es zur Wahrung des öffentlichen Interesses als angemessen erachtet, aus den Mitgliedern der Regulierungsbehörde eine Vertretung bestellen, die befugt ist, dem Bundesgerichtshof schriftliche Erklärungen abzugeben, auf Tatsachen und Beweismittel hinzuweisen, den Terminen beizuwohnen, in ihnen Ausführungen zu machen und Fragen an Parteien, Zeugen und Sachverständige zu richten. Schriftliche Erklärungen der vertretenden Personen sind den Parteien von dem Bundesgerichtshof mitzuteilen.</w:t>
      </w:r>
    </w:p>
    <w:p>
      <w:r>
        <w:rPr>
          <w:color w:val="555555"/>
          <w:sz w:val="17"/>
        </w:rPr>
        <w:t xml:space="preserve">Zitiervorschlag: § 62a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